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1350" w14:textId="77777777" w:rsidR="00D86EB7" w:rsidRDefault="00D86EB7" w:rsidP="002839AA">
      <w:bookmarkStart w:id="0" w:name="_GoBack"/>
      <w:bookmarkEnd w:id="0"/>
      <w:r w:rsidRPr="00FC1506">
        <w:rPr>
          <w:rFonts w:cs="Arial"/>
          <w:b/>
          <w:noProof/>
          <w:sz w:val="20"/>
          <w:szCs w:val="28"/>
          <w:lang w:eastAsia="en-GB"/>
        </w:rPr>
        <w:drawing>
          <wp:anchor distT="0" distB="0" distL="114300" distR="114300" simplePos="0" relativeHeight="251707392" behindDoc="0" locked="0" layoutInCell="1" allowOverlap="1" wp14:anchorId="1C678139" wp14:editId="49D5261F">
            <wp:simplePos x="0" y="0"/>
            <wp:positionH relativeFrom="column">
              <wp:posOffset>3842385</wp:posOffset>
            </wp:positionH>
            <wp:positionV relativeFrom="paragraph">
              <wp:posOffset>-527685</wp:posOffset>
            </wp:positionV>
            <wp:extent cx="2705100" cy="733425"/>
            <wp:effectExtent l="0" t="0" r="0" b="9525"/>
            <wp:wrapNone/>
            <wp:docPr id="26" name="Picture 26" descr="A27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270009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9DF8B" w14:textId="77777777" w:rsidR="00D86EB7" w:rsidRDefault="00D86EB7" w:rsidP="002839AA"/>
    <w:p w14:paraId="1371BE87" w14:textId="77777777" w:rsidR="00D86EB7" w:rsidRDefault="00D86EB7" w:rsidP="002839AA">
      <w:pPr>
        <w:rPr>
          <w:sz w:val="22"/>
          <w:szCs w:val="22"/>
        </w:rPr>
      </w:pPr>
    </w:p>
    <w:p w14:paraId="0DA6EB28" w14:textId="77777777" w:rsidR="00165FCD" w:rsidRPr="004E5CC6" w:rsidRDefault="00165FCD" w:rsidP="00165FCD">
      <w:pPr>
        <w:jc w:val="left"/>
        <w:rPr>
          <w:b/>
          <w:sz w:val="40"/>
          <w:szCs w:val="40"/>
        </w:rPr>
      </w:pPr>
      <w:r w:rsidRPr="004E5CC6">
        <w:rPr>
          <w:b/>
          <w:sz w:val="40"/>
          <w:szCs w:val="40"/>
        </w:rPr>
        <w:t xml:space="preserve">Our regulation of social housing in Scotland </w:t>
      </w:r>
    </w:p>
    <w:p w14:paraId="57981427" w14:textId="77777777" w:rsidR="00165FCD" w:rsidRPr="004E5CC6" w:rsidRDefault="005C5056" w:rsidP="00165FCD">
      <w:pPr>
        <w:jc w:val="left"/>
        <w:rPr>
          <w:b/>
          <w:sz w:val="28"/>
          <w:szCs w:val="28"/>
        </w:rPr>
      </w:pPr>
      <w:r>
        <w:rPr>
          <w:b/>
          <w:sz w:val="28"/>
          <w:szCs w:val="28"/>
        </w:rPr>
        <w:t>Consultation q</w:t>
      </w:r>
      <w:r w:rsidR="00165FCD" w:rsidRPr="004E5CC6">
        <w:rPr>
          <w:b/>
          <w:sz w:val="28"/>
          <w:szCs w:val="28"/>
        </w:rPr>
        <w:t xml:space="preserve">uestions </w:t>
      </w:r>
    </w:p>
    <w:p w14:paraId="004A05F9" w14:textId="77777777" w:rsidR="00165FCD" w:rsidRPr="00766149" w:rsidRDefault="00165FCD" w:rsidP="002839AA">
      <w:pPr>
        <w:rPr>
          <w:sz w:val="22"/>
          <w:szCs w:val="22"/>
        </w:rPr>
      </w:pPr>
    </w:p>
    <w:p w14:paraId="32D3C0DA" w14:textId="77777777" w:rsidR="002E2BD4" w:rsidRDefault="002E2BD4" w:rsidP="002E2BD4">
      <w:pPr>
        <w:autoSpaceDE w:val="0"/>
        <w:autoSpaceDN w:val="0"/>
        <w:adjustRightInd w:val="0"/>
        <w:jc w:val="left"/>
        <w:rPr>
          <w:rFonts w:cs="Arial"/>
          <w:color w:val="000000"/>
          <w:sz w:val="20"/>
        </w:rPr>
      </w:pPr>
      <w:r w:rsidRPr="002E2BD4">
        <w:rPr>
          <w:rFonts w:cs="Arial"/>
          <w:color w:val="000000"/>
          <w:sz w:val="20"/>
        </w:rPr>
        <w:t xml:space="preserve">We welcome </w:t>
      </w:r>
      <w:r>
        <w:rPr>
          <w:rFonts w:cs="Arial"/>
          <w:color w:val="000000"/>
          <w:sz w:val="20"/>
        </w:rPr>
        <w:t xml:space="preserve">your </w:t>
      </w:r>
      <w:r w:rsidRPr="002E2BD4">
        <w:rPr>
          <w:rFonts w:cs="Arial"/>
          <w:color w:val="000000"/>
          <w:sz w:val="20"/>
        </w:rPr>
        <w:t>general feedback on our proposals as well as answers</w:t>
      </w:r>
      <w:r>
        <w:rPr>
          <w:rFonts w:cs="Arial"/>
          <w:color w:val="000000"/>
          <w:sz w:val="20"/>
        </w:rPr>
        <w:t xml:space="preserve"> </w:t>
      </w:r>
      <w:r w:rsidRPr="002E2BD4">
        <w:rPr>
          <w:rFonts w:cs="Arial"/>
          <w:color w:val="000000"/>
          <w:sz w:val="20"/>
        </w:rPr>
        <w:t xml:space="preserve">to the specific questions we have raised. </w:t>
      </w:r>
      <w:r w:rsidRPr="00713146">
        <w:rPr>
          <w:rFonts w:cs="Arial"/>
          <w:color w:val="000000"/>
          <w:sz w:val="20"/>
        </w:rPr>
        <w:t xml:space="preserve">You can read our </w:t>
      </w:r>
      <w:r w:rsidR="00B8601E">
        <w:rPr>
          <w:rFonts w:cs="Arial"/>
          <w:color w:val="000000"/>
          <w:sz w:val="20"/>
        </w:rPr>
        <w:t>consultation paper</w:t>
      </w:r>
      <w:r>
        <w:rPr>
          <w:rFonts w:cs="Arial"/>
          <w:color w:val="000000"/>
          <w:sz w:val="20"/>
        </w:rPr>
        <w:t xml:space="preserve"> on</w:t>
      </w:r>
      <w:r w:rsidRPr="00713146">
        <w:rPr>
          <w:rFonts w:cs="Arial"/>
          <w:color w:val="000000"/>
          <w:sz w:val="20"/>
        </w:rPr>
        <w:t xml:space="preserve"> our website at</w:t>
      </w:r>
      <w:r w:rsidR="00BA6D56">
        <w:rPr>
          <w:rFonts w:cs="Arial"/>
          <w:color w:val="000000"/>
          <w:sz w:val="20"/>
        </w:rPr>
        <w:t xml:space="preserve"> </w:t>
      </w:r>
      <w:r>
        <w:rPr>
          <w:rFonts w:cs="Arial"/>
          <w:color w:val="000000"/>
          <w:sz w:val="20"/>
          <w:u w:val="single"/>
        </w:rPr>
        <w:t xml:space="preserve"> </w:t>
      </w:r>
      <w:hyperlink r:id="rId9" w:history="1">
        <w:r>
          <w:rPr>
            <w:rStyle w:val="Hyperlink"/>
            <w:rFonts w:cs="Arial"/>
            <w:sz w:val="20"/>
          </w:rPr>
          <w:t>www.scottishhousingregulator.gov.uk</w:t>
        </w:r>
      </w:hyperlink>
      <w:r w:rsidRPr="002E2BD4">
        <w:rPr>
          <w:rFonts w:cs="Arial"/>
          <w:color w:val="000000"/>
          <w:sz w:val="20"/>
        </w:rPr>
        <w:t xml:space="preserve">.  Please do not feel you have to answer every question unless you wish to do so. </w:t>
      </w:r>
    </w:p>
    <w:p w14:paraId="009A4929" w14:textId="77777777" w:rsidR="002E2BD4" w:rsidRPr="002E2BD4" w:rsidRDefault="002E2BD4" w:rsidP="002E2BD4">
      <w:pPr>
        <w:autoSpaceDE w:val="0"/>
        <w:autoSpaceDN w:val="0"/>
        <w:adjustRightInd w:val="0"/>
        <w:jc w:val="left"/>
        <w:rPr>
          <w:rFonts w:cs="Arial"/>
          <w:color w:val="000000"/>
          <w:sz w:val="20"/>
        </w:rPr>
      </w:pPr>
    </w:p>
    <w:p w14:paraId="39F56337" w14:textId="77777777" w:rsidR="002E2BD4" w:rsidRPr="00B12A56" w:rsidRDefault="000729A7" w:rsidP="002E2BD4">
      <w:pPr>
        <w:autoSpaceDE w:val="0"/>
        <w:autoSpaceDN w:val="0"/>
        <w:adjustRightInd w:val="0"/>
        <w:jc w:val="left"/>
        <w:rPr>
          <w:rFonts w:cs="Arial"/>
          <w:color w:val="000000"/>
          <w:sz w:val="22"/>
          <w:szCs w:val="22"/>
        </w:rPr>
      </w:pPr>
      <w:r w:rsidRPr="00B12A56">
        <w:rPr>
          <w:noProof/>
          <w:sz w:val="22"/>
          <w:szCs w:val="22"/>
          <w:lang w:eastAsia="en-GB"/>
        </w:rPr>
        <w:drawing>
          <wp:anchor distT="0" distB="0" distL="114300" distR="114300" simplePos="0" relativeHeight="251709440" behindDoc="0" locked="0" layoutInCell="1" allowOverlap="1" wp14:anchorId="112458DE" wp14:editId="3A71FBD0">
            <wp:simplePos x="0" y="0"/>
            <wp:positionH relativeFrom="column">
              <wp:posOffset>4251960</wp:posOffset>
            </wp:positionH>
            <wp:positionV relativeFrom="paragraph">
              <wp:posOffset>147320</wp:posOffset>
            </wp:positionV>
            <wp:extent cx="476250" cy="4762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page">
              <wp14:pctWidth>0</wp14:pctWidth>
            </wp14:sizeRelH>
            <wp14:sizeRelV relativeFrom="page">
              <wp14:pctHeight>0</wp14:pctHeight>
            </wp14:sizeRelV>
          </wp:anchor>
        </w:drawing>
      </w:r>
      <w:r w:rsidR="0003234A" w:rsidRPr="00B12A56">
        <w:rPr>
          <w:rFonts w:cs="Arial"/>
          <w:color w:val="000000"/>
          <w:sz w:val="22"/>
          <w:szCs w:val="22"/>
        </w:rPr>
        <w:t xml:space="preserve">Send your </w:t>
      </w:r>
      <w:r w:rsidR="002E2BD4" w:rsidRPr="00B12A56">
        <w:rPr>
          <w:rFonts w:cs="Arial"/>
          <w:color w:val="000000"/>
          <w:sz w:val="22"/>
          <w:szCs w:val="22"/>
        </w:rPr>
        <w:t xml:space="preserve">completed questionnaire </w:t>
      </w:r>
      <w:r w:rsidR="0003234A" w:rsidRPr="00B12A56">
        <w:rPr>
          <w:rFonts w:cs="Arial"/>
          <w:color w:val="000000"/>
          <w:sz w:val="22"/>
          <w:szCs w:val="22"/>
        </w:rPr>
        <w:t xml:space="preserve">to us </w:t>
      </w:r>
      <w:r w:rsidR="002E2BD4" w:rsidRPr="00B12A56">
        <w:rPr>
          <w:rFonts w:cs="Arial"/>
          <w:color w:val="000000"/>
          <w:sz w:val="22"/>
          <w:szCs w:val="22"/>
        </w:rPr>
        <w:t xml:space="preserve">by </w:t>
      </w:r>
      <w:r w:rsidR="00B12A56" w:rsidRPr="00767882">
        <w:rPr>
          <w:rFonts w:cs="Arial"/>
          <w:b/>
          <w:color w:val="000000"/>
          <w:sz w:val="22"/>
          <w:szCs w:val="22"/>
        </w:rPr>
        <w:t>14 December</w:t>
      </w:r>
      <w:r w:rsidR="00B12A56" w:rsidRPr="00B12A56">
        <w:rPr>
          <w:rFonts w:cs="Arial"/>
          <w:color w:val="000000"/>
          <w:sz w:val="22"/>
          <w:szCs w:val="22"/>
        </w:rPr>
        <w:t xml:space="preserve"> </w:t>
      </w:r>
      <w:r w:rsidR="002E2BD4" w:rsidRPr="00B12A56">
        <w:rPr>
          <w:rFonts w:cs="Arial"/>
          <w:b/>
          <w:color w:val="000000"/>
          <w:sz w:val="22"/>
          <w:szCs w:val="22"/>
        </w:rPr>
        <w:t>2018</w:t>
      </w:r>
      <w:r w:rsidR="0003234A" w:rsidRPr="00B12A56">
        <w:rPr>
          <w:rFonts w:cs="Arial"/>
          <w:b/>
          <w:color w:val="000000"/>
          <w:sz w:val="22"/>
          <w:szCs w:val="22"/>
        </w:rPr>
        <w:t>.</w:t>
      </w:r>
      <w:r w:rsidR="002E2BD4" w:rsidRPr="00B12A56">
        <w:rPr>
          <w:rFonts w:cs="Arial"/>
          <w:color w:val="000000"/>
          <w:sz w:val="22"/>
          <w:szCs w:val="22"/>
        </w:rPr>
        <w:t xml:space="preserve"> </w:t>
      </w:r>
    </w:p>
    <w:p w14:paraId="15EC0D1A" w14:textId="77777777" w:rsidR="002E2BD4" w:rsidRPr="00B12A56" w:rsidRDefault="002E2BD4" w:rsidP="00BB5D10">
      <w:pPr>
        <w:autoSpaceDE w:val="0"/>
        <w:autoSpaceDN w:val="0"/>
        <w:adjustRightInd w:val="0"/>
        <w:jc w:val="left"/>
        <w:rPr>
          <w:rFonts w:cs="Arial"/>
          <w:color w:val="000000"/>
          <w:sz w:val="22"/>
          <w:szCs w:val="22"/>
        </w:rPr>
      </w:pPr>
      <w:r w:rsidRPr="00B12A56">
        <w:rPr>
          <w:rFonts w:cs="Arial"/>
          <w:color w:val="000000"/>
          <w:sz w:val="22"/>
          <w:szCs w:val="22"/>
        </w:rPr>
        <w:t xml:space="preserve"> </w:t>
      </w:r>
    </w:p>
    <w:p w14:paraId="1BBF4E67" w14:textId="77777777" w:rsidR="00A64B6A" w:rsidRPr="0071008D" w:rsidRDefault="0003234A" w:rsidP="00A64B6A">
      <w:pPr>
        <w:rPr>
          <w:rFonts w:cs="Arial"/>
          <w:sz w:val="22"/>
          <w:szCs w:val="22"/>
        </w:rPr>
      </w:pPr>
      <w:r w:rsidRPr="00B12A56">
        <w:rPr>
          <w:sz w:val="22"/>
          <w:szCs w:val="22"/>
        </w:rPr>
        <w:t xml:space="preserve">By email </w:t>
      </w:r>
      <w:r w:rsidR="000729A7" w:rsidRPr="00B12A56">
        <w:rPr>
          <w:sz w:val="22"/>
          <w:szCs w:val="22"/>
        </w:rPr>
        <w:t>@</w:t>
      </w:r>
      <w:r w:rsidR="000729A7" w:rsidRPr="00B12A56">
        <w:rPr>
          <w:sz w:val="22"/>
          <w:szCs w:val="22"/>
        </w:rPr>
        <w:tab/>
      </w:r>
      <w:r w:rsidR="00A64B6A">
        <w:rPr>
          <w:sz w:val="22"/>
          <w:szCs w:val="22"/>
        </w:rPr>
        <w:t xml:space="preserve"> </w:t>
      </w:r>
      <w:r w:rsidR="00A64B6A" w:rsidRPr="00C5574D">
        <w:rPr>
          <w:rStyle w:val="Hyperlink"/>
          <w:rFonts w:cs="Arial"/>
          <w:sz w:val="22"/>
          <w:szCs w:val="22"/>
        </w:rPr>
        <w:t>consultation@scottishhousingregulator.gsi.gov.uk</w:t>
      </w:r>
    </w:p>
    <w:p w14:paraId="152F827D" w14:textId="77777777" w:rsidR="002E2BD4" w:rsidRPr="00CB36C0" w:rsidRDefault="002E2BD4" w:rsidP="002E2BD4">
      <w:pPr>
        <w:autoSpaceDE w:val="0"/>
        <w:autoSpaceDN w:val="0"/>
        <w:adjustRightInd w:val="0"/>
        <w:jc w:val="left"/>
        <w:rPr>
          <w:rFonts w:cs="Arial"/>
          <w:color w:val="000000"/>
          <w:sz w:val="22"/>
          <w:szCs w:val="22"/>
          <w:highlight w:val="yellow"/>
        </w:rPr>
      </w:pPr>
    </w:p>
    <w:p w14:paraId="5AADAA4F" w14:textId="77777777" w:rsidR="000729A7" w:rsidRPr="00A64B6A" w:rsidRDefault="000729A7" w:rsidP="000729A7">
      <w:pPr>
        <w:tabs>
          <w:tab w:val="clear" w:pos="720"/>
          <w:tab w:val="clear" w:pos="1440"/>
          <w:tab w:val="clear" w:pos="2160"/>
          <w:tab w:val="clear" w:pos="2880"/>
          <w:tab w:val="clear" w:pos="4680"/>
          <w:tab w:val="clear" w:pos="5400"/>
          <w:tab w:val="clear" w:pos="9000"/>
        </w:tabs>
        <w:spacing w:after="200" w:line="276" w:lineRule="auto"/>
        <w:contextualSpacing/>
        <w:jc w:val="left"/>
        <w:rPr>
          <w:sz w:val="20"/>
        </w:rPr>
      </w:pPr>
      <w:r w:rsidRPr="00A64B6A">
        <w:rPr>
          <w:noProof/>
          <w:sz w:val="22"/>
          <w:szCs w:val="22"/>
          <w:lang w:eastAsia="en-GB"/>
        </w:rPr>
        <w:drawing>
          <wp:anchor distT="0" distB="0" distL="114300" distR="114300" simplePos="0" relativeHeight="251711488" behindDoc="0" locked="0" layoutInCell="1" allowOverlap="1" wp14:anchorId="41D6391F" wp14:editId="525A3CF1">
            <wp:simplePos x="0" y="0"/>
            <wp:positionH relativeFrom="column">
              <wp:posOffset>4310825</wp:posOffset>
            </wp:positionH>
            <wp:positionV relativeFrom="paragraph">
              <wp:posOffset>102235</wp:posOffset>
            </wp:positionV>
            <wp:extent cx="332509" cy="33250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 hou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509" cy="332509"/>
                    </a:xfrm>
                    <a:prstGeom prst="rect">
                      <a:avLst/>
                    </a:prstGeom>
                  </pic:spPr>
                </pic:pic>
              </a:graphicData>
            </a:graphic>
            <wp14:sizeRelH relativeFrom="page">
              <wp14:pctWidth>0</wp14:pctWidth>
            </wp14:sizeRelH>
            <wp14:sizeRelV relativeFrom="page">
              <wp14:pctHeight>0</wp14:pctHeight>
            </wp14:sizeRelV>
          </wp:anchor>
        </w:drawing>
      </w:r>
      <w:r w:rsidRPr="00A64B6A">
        <w:rPr>
          <w:rFonts w:cs="Arial"/>
          <w:color w:val="000000"/>
          <w:sz w:val="22"/>
          <w:szCs w:val="22"/>
        </w:rPr>
        <w:t xml:space="preserve">Or post </w:t>
      </w:r>
      <w:r w:rsidR="0003234A" w:rsidRPr="00A64B6A">
        <w:rPr>
          <w:rFonts w:cs="Arial"/>
          <w:color w:val="000000"/>
          <w:sz w:val="22"/>
          <w:szCs w:val="22"/>
        </w:rPr>
        <w:t>to</w:t>
      </w:r>
      <w:r w:rsidRPr="00A64B6A">
        <w:rPr>
          <w:rFonts w:cs="Arial"/>
          <w:color w:val="000000"/>
          <w:sz w:val="22"/>
          <w:szCs w:val="22"/>
        </w:rPr>
        <w:t xml:space="preserve">: </w:t>
      </w:r>
      <w:r w:rsidRPr="00A64B6A">
        <w:rPr>
          <w:rFonts w:cs="Arial"/>
          <w:color w:val="000000"/>
          <w:sz w:val="22"/>
          <w:szCs w:val="22"/>
        </w:rPr>
        <w:tab/>
      </w:r>
      <w:r w:rsidRPr="00A64B6A">
        <w:rPr>
          <w:sz w:val="20"/>
        </w:rPr>
        <w:t xml:space="preserve">Scottish Housing Regulator </w:t>
      </w:r>
    </w:p>
    <w:p w14:paraId="536B7BAE" w14:textId="77777777" w:rsidR="000729A7" w:rsidRPr="00A64B6A" w:rsidRDefault="000729A7" w:rsidP="000729A7">
      <w:pPr>
        <w:tabs>
          <w:tab w:val="clear" w:pos="720"/>
          <w:tab w:val="clear" w:pos="1440"/>
          <w:tab w:val="clear" w:pos="2160"/>
          <w:tab w:val="clear" w:pos="2880"/>
          <w:tab w:val="clear" w:pos="4680"/>
          <w:tab w:val="clear" w:pos="5400"/>
          <w:tab w:val="clear" w:pos="9000"/>
        </w:tabs>
        <w:spacing w:after="200" w:line="276" w:lineRule="auto"/>
        <w:contextualSpacing/>
        <w:jc w:val="left"/>
        <w:rPr>
          <w:sz w:val="20"/>
        </w:rPr>
      </w:pPr>
      <w:r w:rsidRPr="00A64B6A">
        <w:rPr>
          <w:sz w:val="20"/>
        </w:rPr>
        <w:tab/>
      </w:r>
      <w:r w:rsidRPr="00A64B6A">
        <w:rPr>
          <w:sz w:val="20"/>
        </w:rPr>
        <w:tab/>
        <w:t xml:space="preserve">Buchanan House </w:t>
      </w:r>
    </w:p>
    <w:p w14:paraId="5D749A07" w14:textId="77777777" w:rsidR="000729A7" w:rsidRPr="009679E1" w:rsidRDefault="000729A7" w:rsidP="000729A7">
      <w:pPr>
        <w:tabs>
          <w:tab w:val="clear" w:pos="720"/>
          <w:tab w:val="clear" w:pos="1440"/>
          <w:tab w:val="clear" w:pos="2160"/>
          <w:tab w:val="clear" w:pos="2880"/>
          <w:tab w:val="clear" w:pos="4680"/>
          <w:tab w:val="clear" w:pos="5400"/>
          <w:tab w:val="clear" w:pos="9000"/>
        </w:tabs>
        <w:spacing w:after="200" w:line="276" w:lineRule="auto"/>
        <w:contextualSpacing/>
        <w:jc w:val="left"/>
        <w:rPr>
          <w:sz w:val="20"/>
        </w:rPr>
      </w:pPr>
      <w:r w:rsidRPr="00A64B6A">
        <w:rPr>
          <w:sz w:val="20"/>
        </w:rPr>
        <w:tab/>
      </w:r>
      <w:r w:rsidRPr="00A64B6A">
        <w:rPr>
          <w:sz w:val="20"/>
        </w:rPr>
        <w:tab/>
        <w:t>58 Port Dundas Road,</w:t>
      </w:r>
      <w:r w:rsidR="0090686B" w:rsidRPr="00A64B6A">
        <w:rPr>
          <w:sz w:val="20"/>
        </w:rPr>
        <w:t xml:space="preserve"> </w:t>
      </w:r>
      <w:r w:rsidRPr="00A64B6A">
        <w:rPr>
          <w:sz w:val="20"/>
        </w:rPr>
        <w:t>Glasgow</w:t>
      </w:r>
      <w:r w:rsidR="00165FCD" w:rsidRPr="00A64B6A">
        <w:rPr>
          <w:sz w:val="20"/>
        </w:rPr>
        <w:t xml:space="preserve">, </w:t>
      </w:r>
      <w:r w:rsidRPr="00A64B6A">
        <w:rPr>
          <w:sz w:val="20"/>
        </w:rPr>
        <w:t>G4 0HF</w:t>
      </w:r>
      <w:r w:rsidRPr="009679E1">
        <w:rPr>
          <w:sz w:val="20"/>
        </w:rPr>
        <w:t xml:space="preserve"> </w:t>
      </w:r>
    </w:p>
    <w:p w14:paraId="5D45D3E3" w14:textId="77777777" w:rsidR="009C621B" w:rsidRDefault="009C621B" w:rsidP="009C621B">
      <w:pPr>
        <w:autoSpaceDE w:val="0"/>
        <w:autoSpaceDN w:val="0"/>
        <w:adjustRightInd w:val="0"/>
        <w:rPr>
          <w:rFonts w:cs="Arial"/>
          <w:color w:val="000000"/>
          <w:sz w:val="20"/>
        </w:rPr>
      </w:pPr>
    </w:p>
    <w:p w14:paraId="5ADE8108" w14:textId="77777777" w:rsidR="009C621B" w:rsidRPr="00A323A7" w:rsidRDefault="009C621B" w:rsidP="009C621B">
      <w:pPr>
        <w:tabs>
          <w:tab w:val="left" w:pos="900"/>
        </w:tabs>
        <w:rPr>
          <w:rFonts w:cs="Arial"/>
          <w:color w:val="B7274C"/>
        </w:rPr>
      </w:pPr>
      <w:r w:rsidRPr="00113EC2">
        <w:rPr>
          <w:rFonts w:cs="Arial"/>
          <w:b/>
          <w:i/>
          <w:color w:val="B7274C"/>
        </w:rPr>
        <w:t xml:space="preserve"> </w:t>
      </w:r>
      <w:r w:rsidR="005944AC" w:rsidRPr="00A323A7">
        <w:rPr>
          <w:rFonts w:cs="Arial"/>
          <w:b/>
        </w:rPr>
        <w:t xml:space="preserve">Name/organisation name </w:t>
      </w:r>
    </w:p>
    <w:tbl>
      <w:tblPr>
        <w:tblW w:w="9072" w:type="dxa"/>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072"/>
      </w:tblGrid>
      <w:tr w:rsidR="009C621B" w:rsidRPr="0005655E" w14:paraId="647A3959" w14:textId="77777777" w:rsidTr="00614346">
        <w:trPr>
          <w:trHeight w:val="346"/>
        </w:trPr>
        <w:tc>
          <w:tcPr>
            <w:tcW w:w="9072" w:type="dxa"/>
            <w:vAlign w:val="center"/>
          </w:tcPr>
          <w:p w14:paraId="2508FA62" w14:textId="77777777" w:rsidR="003143FE" w:rsidRPr="0005655E" w:rsidRDefault="00AA336A" w:rsidP="003143FE">
            <w:pPr>
              <w:rPr>
                <w:rFonts w:cs="Arial"/>
                <w:sz w:val="20"/>
              </w:rPr>
            </w:pPr>
            <w:r>
              <w:rPr>
                <w:rFonts w:cs="Arial"/>
                <w:sz w:val="20"/>
              </w:rPr>
              <w:t>Scottish Human Rights Commission</w:t>
            </w:r>
          </w:p>
        </w:tc>
      </w:tr>
    </w:tbl>
    <w:p w14:paraId="3FF6EA91" w14:textId="77777777" w:rsidR="009C621B" w:rsidRDefault="009C621B" w:rsidP="009C621B">
      <w:pPr>
        <w:rPr>
          <w:rFonts w:cs="Arial"/>
          <w:b/>
          <w:sz w:val="16"/>
          <w:szCs w:val="16"/>
        </w:rPr>
      </w:pPr>
    </w:p>
    <w:p w14:paraId="7E919157" w14:textId="77777777" w:rsidR="009C621B" w:rsidRPr="008A7492" w:rsidRDefault="009C621B" w:rsidP="009C621B">
      <w:pPr>
        <w:tabs>
          <w:tab w:val="left" w:pos="3600"/>
          <w:tab w:val="left" w:pos="4320"/>
        </w:tabs>
        <w:rPr>
          <w:rFonts w:cs="Arial"/>
          <w:b/>
        </w:rPr>
      </w:pPr>
      <w:r w:rsidRPr="008A7492">
        <w:rPr>
          <w:rFonts w:cs="Arial"/>
          <w:b/>
        </w:rPr>
        <w:t>Address</w:t>
      </w:r>
    </w:p>
    <w:tbl>
      <w:tblPr>
        <w:tblW w:w="9072" w:type="dxa"/>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2477"/>
        <w:gridCol w:w="2387"/>
        <w:gridCol w:w="4208"/>
      </w:tblGrid>
      <w:tr w:rsidR="009C621B" w:rsidRPr="0005655E" w14:paraId="59C4A422" w14:textId="77777777" w:rsidTr="00614346">
        <w:trPr>
          <w:trHeight w:val="346"/>
        </w:trPr>
        <w:tc>
          <w:tcPr>
            <w:tcW w:w="8326" w:type="dxa"/>
            <w:gridSpan w:val="3"/>
            <w:vAlign w:val="center"/>
          </w:tcPr>
          <w:p w14:paraId="3181C08D" w14:textId="77777777" w:rsidR="009C621B" w:rsidRPr="0005655E" w:rsidRDefault="00AA336A" w:rsidP="00AE6E91">
            <w:pPr>
              <w:rPr>
                <w:rFonts w:cs="Arial"/>
              </w:rPr>
            </w:pPr>
            <w:r>
              <w:rPr>
                <w:rFonts w:cs="Arial"/>
              </w:rPr>
              <w:t>Governor’s House</w:t>
            </w:r>
          </w:p>
        </w:tc>
      </w:tr>
      <w:tr w:rsidR="009C621B" w:rsidRPr="0005655E" w14:paraId="202BA9E5" w14:textId="77777777" w:rsidTr="00614346">
        <w:trPr>
          <w:trHeight w:val="346"/>
        </w:trPr>
        <w:tc>
          <w:tcPr>
            <w:tcW w:w="8326" w:type="dxa"/>
            <w:gridSpan w:val="3"/>
            <w:vAlign w:val="center"/>
          </w:tcPr>
          <w:p w14:paraId="67D98E0E" w14:textId="77777777" w:rsidR="009C621B" w:rsidRPr="0005655E" w:rsidRDefault="00AA336A" w:rsidP="00AE6E91">
            <w:pPr>
              <w:rPr>
                <w:rFonts w:cs="Arial"/>
              </w:rPr>
            </w:pPr>
            <w:r>
              <w:rPr>
                <w:rFonts w:cs="Arial"/>
              </w:rPr>
              <w:t>Regent Road</w:t>
            </w:r>
          </w:p>
        </w:tc>
      </w:tr>
      <w:tr w:rsidR="009C621B" w:rsidRPr="0005655E" w14:paraId="0EF307DA" w14:textId="77777777" w:rsidTr="00614346">
        <w:trPr>
          <w:trHeight w:val="346"/>
        </w:trPr>
        <w:tc>
          <w:tcPr>
            <w:tcW w:w="8326" w:type="dxa"/>
            <w:gridSpan w:val="3"/>
            <w:vAlign w:val="center"/>
          </w:tcPr>
          <w:p w14:paraId="462184DE" w14:textId="77777777" w:rsidR="009C621B" w:rsidRPr="0005655E" w:rsidRDefault="00AA336A" w:rsidP="00AE6E91">
            <w:pPr>
              <w:rPr>
                <w:rFonts w:cs="Arial"/>
              </w:rPr>
            </w:pPr>
            <w:r>
              <w:rPr>
                <w:rFonts w:cs="Arial"/>
              </w:rPr>
              <w:t>Edinburgh</w:t>
            </w:r>
          </w:p>
        </w:tc>
      </w:tr>
      <w:tr w:rsidR="009C621B" w:rsidRPr="0005655E" w14:paraId="18889D8C" w14:textId="77777777" w:rsidTr="00614346">
        <w:trPr>
          <w:trHeight w:val="346"/>
        </w:trPr>
        <w:tc>
          <w:tcPr>
            <w:tcW w:w="8326" w:type="dxa"/>
            <w:gridSpan w:val="3"/>
            <w:vAlign w:val="center"/>
          </w:tcPr>
          <w:p w14:paraId="1C80E973" w14:textId="77777777" w:rsidR="009C621B" w:rsidRPr="0005655E" w:rsidRDefault="009C621B" w:rsidP="00AE6E91">
            <w:pPr>
              <w:rPr>
                <w:rFonts w:cs="Arial"/>
              </w:rPr>
            </w:pPr>
            <w:r w:rsidRPr="0005655E">
              <w:rPr>
                <w:rFonts w:cs="Arial"/>
              </w:rPr>
              <w:fldChar w:fldCharType="begin">
                <w:ffData>
                  <w:name w:val=""/>
                  <w:enabled/>
                  <w:calcOnExit w:val="0"/>
                  <w:textInput/>
                </w:ffData>
              </w:fldChar>
            </w:r>
            <w:r w:rsidRPr="0005655E">
              <w:rPr>
                <w:rFonts w:cs="Arial"/>
              </w:rPr>
              <w:instrText xml:space="preserve"> FORMTEXT </w:instrText>
            </w:r>
            <w:r w:rsidRPr="0005655E">
              <w:rPr>
                <w:rFonts w:cs="Arial"/>
              </w:rPr>
            </w:r>
            <w:r w:rsidRPr="0005655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05655E">
              <w:rPr>
                <w:rFonts w:cs="Arial"/>
              </w:rPr>
              <w:fldChar w:fldCharType="end"/>
            </w:r>
          </w:p>
        </w:tc>
      </w:tr>
      <w:tr w:rsidR="009C621B" w:rsidRPr="0005655E" w14:paraId="1203D086" w14:textId="77777777" w:rsidTr="00AA336A">
        <w:trPr>
          <w:trHeight w:hRule="exact" w:val="877"/>
        </w:trPr>
        <w:tc>
          <w:tcPr>
            <w:tcW w:w="2775" w:type="dxa"/>
            <w:vAlign w:val="center"/>
          </w:tcPr>
          <w:p w14:paraId="4C10C340" w14:textId="77777777" w:rsidR="009C621B" w:rsidRPr="0005655E" w:rsidRDefault="009C621B" w:rsidP="00AA336A">
            <w:pPr>
              <w:rPr>
                <w:rFonts w:cs="Arial"/>
                <w:b/>
              </w:rPr>
            </w:pPr>
            <w:r w:rsidRPr="008A7492">
              <w:rPr>
                <w:rFonts w:cs="Arial"/>
                <w:b/>
                <w:sz w:val="16"/>
                <w:szCs w:val="16"/>
              </w:rPr>
              <w:t>Postcode</w:t>
            </w:r>
            <w:r w:rsidRPr="0005655E">
              <w:rPr>
                <w:rFonts w:cs="Arial"/>
                <w:b/>
              </w:rPr>
              <w:t xml:space="preserve"> </w:t>
            </w:r>
            <w:r w:rsidRPr="0005655E">
              <w:rPr>
                <w:rFonts w:cs="Arial"/>
              </w:rPr>
              <w:fldChar w:fldCharType="begin">
                <w:ffData>
                  <w:name w:val=""/>
                  <w:enabled/>
                  <w:calcOnExit w:val="0"/>
                  <w:textInput>
                    <w:maxLength w:val="10"/>
                    <w:format w:val="UPPERCASE"/>
                  </w:textInput>
                </w:ffData>
              </w:fldChar>
            </w:r>
            <w:r w:rsidRPr="0005655E">
              <w:rPr>
                <w:rFonts w:cs="Arial"/>
              </w:rPr>
              <w:instrText xml:space="preserve"> FORMTEXT </w:instrText>
            </w:r>
            <w:r w:rsidRPr="0005655E">
              <w:rPr>
                <w:rFonts w:cs="Arial"/>
              </w:rPr>
            </w:r>
            <w:r w:rsidRPr="0005655E">
              <w:rPr>
                <w:rFonts w:cs="Arial"/>
              </w:rPr>
              <w:fldChar w:fldCharType="separate"/>
            </w:r>
            <w:r>
              <w:rPr>
                <w:rFonts w:cs="Arial"/>
                <w:noProof/>
              </w:rPr>
              <w:t> </w:t>
            </w:r>
            <w:r w:rsidR="00AA336A">
              <w:rPr>
                <w:rFonts w:cs="Arial"/>
                <w:noProof/>
              </w:rPr>
              <w:t>EH1 3DE</w:t>
            </w:r>
            <w:r>
              <w:rPr>
                <w:rFonts w:cs="Arial"/>
                <w:noProof/>
              </w:rPr>
              <w:t> </w:t>
            </w:r>
            <w:r>
              <w:rPr>
                <w:rFonts w:cs="Arial"/>
                <w:noProof/>
              </w:rPr>
              <w:t> </w:t>
            </w:r>
            <w:r>
              <w:rPr>
                <w:rFonts w:cs="Arial"/>
                <w:noProof/>
              </w:rPr>
              <w:t> </w:t>
            </w:r>
            <w:r>
              <w:rPr>
                <w:rFonts w:cs="Arial"/>
                <w:noProof/>
              </w:rPr>
              <w:t> </w:t>
            </w:r>
            <w:r w:rsidRPr="0005655E">
              <w:rPr>
                <w:rFonts w:cs="Arial"/>
              </w:rPr>
              <w:fldChar w:fldCharType="end"/>
            </w:r>
          </w:p>
        </w:tc>
        <w:tc>
          <w:tcPr>
            <w:tcW w:w="2775" w:type="dxa"/>
            <w:vAlign w:val="center"/>
          </w:tcPr>
          <w:p w14:paraId="3A1F3B5A" w14:textId="77777777" w:rsidR="009C621B" w:rsidRPr="0005655E" w:rsidRDefault="009C621B" w:rsidP="00AA336A">
            <w:pPr>
              <w:rPr>
                <w:rFonts w:cs="Arial"/>
                <w:b/>
              </w:rPr>
            </w:pPr>
            <w:r w:rsidRPr="008A7492">
              <w:rPr>
                <w:rFonts w:cs="Arial"/>
                <w:b/>
                <w:sz w:val="16"/>
                <w:szCs w:val="16"/>
              </w:rPr>
              <w:t>Phone</w:t>
            </w:r>
            <w:r w:rsidRPr="0005655E">
              <w:rPr>
                <w:rFonts w:cs="Arial"/>
                <w:b/>
              </w:rPr>
              <w:t xml:space="preserve"> </w:t>
            </w:r>
            <w:r w:rsidR="00AA336A">
              <w:rPr>
                <w:rFonts w:cs="Arial"/>
              </w:rPr>
              <w:t>0131 244 3550</w:t>
            </w:r>
          </w:p>
        </w:tc>
        <w:tc>
          <w:tcPr>
            <w:tcW w:w="2776" w:type="dxa"/>
            <w:vAlign w:val="center"/>
          </w:tcPr>
          <w:p w14:paraId="5B34C203" w14:textId="77777777" w:rsidR="009C621B" w:rsidRPr="0005655E" w:rsidRDefault="009C621B" w:rsidP="00AA336A">
            <w:pPr>
              <w:rPr>
                <w:rFonts w:cs="Arial"/>
                <w:b/>
              </w:rPr>
            </w:pPr>
            <w:r w:rsidRPr="008A7492">
              <w:rPr>
                <w:rFonts w:cs="Arial"/>
                <w:b/>
                <w:sz w:val="16"/>
                <w:szCs w:val="16"/>
              </w:rPr>
              <w:t>Email</w:t>
            </w:r>
            <w:r w:rsidRPr="008A7492">
              <w:rPr>
                <w:rFonts w:cs="Arial"/>
                <w:b/>
              </w:rPr>
              <w:t xml:space="preserve"> </w:t>
            </w:r>
            <w:r w:rsidR="00AA336A">
              <w:rPr>
                <w:rFonts w:cs="Arial"/>
              </w:rPr>
              <w:t>chloe.trew@scottishhumanrights.com</w:t>
            </w:r>
          </w:p>
        </w:tc>
      </w:tr>
    </w:tbl>
    <w:p w14:paraId="37635994" w14:textId="77777777" w:rsidR="00594B23" w:rsidRDefault="00594B23" w:rsidP="009C621B">
      <w:pPr>
        <w:rPr>
          <w:rFonts w:cs="Arial"/>
          <w:b/>
        </w:rPr>
      </w:pPr>
    </w:p>
    <w:p w14:paraId="797065BE" w14:textId="77777777" w:rsidR="00594B23" w:rsidRDefault="00594B23" w:rsidP="009679E1">
      <w:pPr>
        <w:tabs>
          <w:tab w:val="left" w:pos="900"/>
        </w:tabs>
        <w:rPr>
          <w:rFonts w:cs="Arial"/>
          <w:b/>
        </w:rPr>
      </w:pPr>
    </w:p>
    <w:p w14:paraId="67FC2833" w14:textId="77777777" w:rsidR="009679E1" w:rsidRDefault="002A1CB1" w:rsidP="009679E1">
      <w:pPr>
        <w:tabs>
          <w:tab w:val="left" w:pos="900"/>
        </w:tabs>
        <w:rPr>
          <w:rFonts w:cs="Arial"/>
          <w:b/>
        </w:rPr>
      </w:pPr>
      <w:r>
        <w:rPr>
          <w:rFonts w:cs="Arial"/>
          <w:b/>
        </w:rPr>
        <w:t xml:space="preserve">How </w:t>
      </w:r>
      <w:r w:rsidR="009679E1" w:rsidRPr="002A1CB1">
        <w:rPr>
          <w:rFonts w:cs="Arial"/>
          <w:b/>
        </w:rPr>
        <w:t>you</w:t>
      </w:r>
      <w:r>
        <w:rPr>
          <w:rFonts w:cs="Arial"/>
          <w:b/>
        </w:rPr>
        <w:t xml:space="preserve"> w</w:t>
      </w:r>
      <w:r w:rsidR="00594B23">
        <w:rPr>
          <w:rFonts w:cs="Arial"/>
          <w:b/>
        </w:rPr>
        <w:t xml:space="preserve">ould like your </w:t>
      </w:r>
      <w:r w:rsidR="009679E1" w:rsidRPr="002A1CB1">
        <w:rPr>
          <w:rFonts w:cs="Arial"/>
          <w:b/>
        </w:rPr>
        <w:t xml:space="preserve">response to be handled </w:t>
      </w:r>
    </w:p>
    <w:p w14:paraId="4F9F283C" w14:textId="77777777" w:rsidR="00A35D7B" w:rsidRPr="00594B23" w:rsidRDefault="00594B23" w:rsidP="00594B23">
      <w:pPr>
        <w:tabs>
          <w:tab w:val="left" w:pos="900"/>
        </w:tabs>
        <w:jc w:val="left"/>
        <w:rPr>
          <w:rFonts w:cs="Arial"/>
          <w:sz w:val="22"/>
          <w:szCs w:val="22"/>
        </w:rPr>
      </w:pPr>
      <w:r w:rsidRPr="00594B23">
        <w:rPr>
          <w:rFonts w:cs="Arial"/>
          <w:sz w:val="22"/>
          <w:szCs w:val="22"/>
        </w:rPr>
        <w:t xml:space="preserve">To help make this a transparent process we intend to publish on our website the responses we receive, as we receive them. </w:t>
      </w:r>
      <w:r>
        <w:rPr>
          <w:rFonts w:cs="Arial"/>
          <w:sz w:val="22"/>
          <w:szCs w:val="22"/>
        </w:rPr>
        <w:t>Please let us know how you would l</w:t>
      </w:r>
      <w:r w:rsidR="00BD7F5B">
        <w:rPr>
          <w:rFonts w:cs="Arial"/>
          <w:sz w:val="22"/>
          <w:szCs w:val="22"/>
        </w:rPr>
        <w:t>ik</w:t>
      </w:r>
      <w:r w:rsidR="00613305">
        <w:rPr>
          <w:rFonts w:cs="Arial"/>
          <w:sz w:val="22"/>
          <w:szCs w:val="22"/>
        </w:rPr>
        <w:t>e us to handle your response.  If you are responding as an individual, we will not publish your</w:t>
      </w:r>
      <w:r w:rsidR="00BD7F5B">
        <w:rPr>
          <w:rFonts w:cs="Arial"/>
          <w:sz w:val="22"/>
          <w:szCs w:val="22"/>
        </w:rPr>
        <w:t xml:space="preserve"> contact details.</w:t>
      </w:r>
    </w:p>
    <w:p w14:paraId="27D75B5E" w14:textId="77777777" w:rsidR="00594B23" w:rsidRDefault="00594B23" w:rsidP="009679E1">
      <w:pPr>
        <w:tabs>
          <w:tab w:val="left" w:pos="900"/>
        </w:tabs>
        <w:rPr>
          <w:rFonts w:cs="Arial"/>
          <w:b/>
        </w:rPr>
      </w:pPr>
    </w:p>
    <w:p w14:paraId="0BD8E943" w14:textId="77777777" w:rsidR="00A35D7B" w:rsidRDefault="00A35D7B" w:rsidP="009679E1">
      <w:pPr>
        <w:tabs>
          <w:tab w:val="left" w:pos="900"/>
        </w:tabs>
        <w:rPr>
          <w:rFonts w:cs="Arial"/>
          <w:b/>
        </w:rPr>
      </w:pPr>
      <w:r>
        <w:rPr>
          <w:rFonts w:cs="Arial"/>
          <w:b/>
        </w:rPr>
        <w:t xml:space="preserve">Are you happy for your response to be published on our website? </w:t>
      </w:r>
    </w:p>
    <w:p w14:paraId="1B796717" w14:textId="77777777" w:rsidR="00A35D7B" w:rsidRDefault="00A35D7B" w:rsidP="009679E1">
      <w:pPr>
        <w:tabs>
          <w:tab w:val="left" w:pos="900"/>
        </w:tabs>
        <w:rPr>
          <w:rFonts w:cs="Arial"/>
          <w:b/>
        </w:rPr>
      </w:pPr>
    </w:p>
    <w:p w14:paraId="1B74963B" w14:textId="77777777" w:rsidR="00A35D7B" w:rsidRDefault="00A35D7B" w:rsidP="009679E1">
      <w:pPr>
        <w:tabs>
          <w:tab w:val="left" w:pos="900"/>
        </w:tabs>
        <w:rPr>
          <w:rFonts w:cs="Arial"/>
          <w:b/>
          <w:sz w:val="22"/>
          <w:szCs w:val="22"/>
        </w:rPr>
      </w:pPr>
      <w:r>
        <w:rPr>
          <w:rFonts w:cs="Arial"/>
          <w:b/>
          <w:sz w:val="22"/>
          <w:szCs w:val="22"/>
        </w:rPr>
        <w:t xml:space="preserve"> </w:t>
      </w:r>
      <w:r w:rsidRPr="000E3CDC">
        <w:rPr>
          <w:rFonts w:cs="Arial"/>
          <w:b/>
          <w:sz w:val="22"/>
          <w:szCs w:val="22"/>
        </w:rPr>
        <w:t xml:space="preserve">Yes  </w:t>
      </w:r>
      <w:r w:rsidR="00AA336A">
        <w:rPr>
          <w:rFonts w:cs="Arial"/>
          <w:b/>
          <w:i/>
          <w:sz w:val="22"/>
          <w:szCs w:val="22"/>
          <w:shd w:val="clear" w:color="auto" w:fill="FFFFFF"/>
        </w:rPr>
        <w:fldChar w:fldCharType="begin">
          <w:ffData>
            <w:name w:val=""/>
            <w:enabled/>
            <w:calcOnExit w:val="0"/>
            <w:checkBox>
              <w:size w:val="22"/>
              <w:default w:val="1"/>
            </w:checkBox>
          </w:ffData>
        </w:fldChar>
      </w:r>
      <w:r w:rsidR="00AA336A">
        <w:rPr>
          <w:rFonts w:cs="Arial"/>
          <w:b/>
          <w:i/>
          <w:sz w:val="22"/>
          <w:szCs w:val="22"/>
          <w:shd w:val="clear" w:color="auto" w:fill="FFFFFF"/>
        </w:rPr>
        <w:instrText xml:space="preserve"> FORMCHECKBOX </w:instrText>
      </w:r>
      <w:r w:rsidR="005A5B10">
        <w:rPr>
          <w:rFonts w:cs="Arial"/>
          <w:b/>
          <w:i/>
          <w:sz w:val="22"/>
          <w:szCs w:val="22"/>
          <w:shd w:val="clear" w:color="auto" w:fill="FFFFFF"/>
        </w:rPr>
      </w:r>
      <w:r w:rsidR="005A5B10">
        <w:rPr>
          <w:rFonts w:cs="Arial"/>
          <w:b/>
          <w:i/>
          <w:sz w:val="22"/>
          <w:szCs w:val="22"/>
          <w:shd w:val="clear" w:color="auto" w:fill="FFFFFF"/>
        </w:rPr>
        <w:fldChar w:fldCharType="separate"/>
      </w:r>
      <w:r w:rsidR="00AA336A">
        <w:rPr>
          <w:rFonts w:cs="Arial"/>
          <w:b/>
          <w:i/>
          <w:sz w:val="22"/>
          <w:szCs w:val="22"/>
          <w:shd w:val="clear" w:color="auto" w:fill="FFFFFF"/>
        </w:rPr>
        <w:fldChar w:fldCharType="end"/>
      </w:r>
      <w:r w:rsidRPr="000E3CDC">
        <w:rPr>
          <w:rFonts w:cs="Arial"/>
          <w:b/>
          <w:sz w:val="22"/>
          <w:szCs w:val="22"/>
        </w:rPr>
        <w:t xml:space="preserve">               No </w:t>
      </w:r>
      <w:r w:rsidRPr="000E3CDC">
        <w:rPr>
          <w:rFonts w:cs="Arial"/>
          <w:b/>
          <w:i/>
          <w:sz w:val="22"/>
          <w:szCs w:val="22"/>
          <w:shd w:val="clear" w:color="auto" w:fill="FFFFFF"/>
        </w:rPr>
        <w:fldChar w:fldCharType="begin">
          <w:ffData>
            <w:name w:val=""/>
            <w:enabled/>
            <w:calcOnExit w:val="0"/>
            <w:checkBox>
              <w:size w:val="22"/>
              <w:default w:val="0"/>
              <w:checked w:val="0"/>
            </w:checkBox>
          </w:ffData>
        </w:fldChar>
      </w:r>
      <w:r w:rsidRPr="000E3CDC">
        <w:rPr>
          <w:rFonts w:cs="Arial"/>
          <w:b/>
          <w:i/>
          <w:sz w:val="22"/>
          <w:szCs w:val="22"/>
          <w:shd w:val="clear" w:color="auto" w:fill="FFFFFF"/>
        </w:rPr>
        <w:instrText xml:space="preserve"> FORMCHECKBOX </w:instrText>
      </w:r>
      <w:r w:rsidR="005A5B10">
        <w:rPr>
          <w:rFonts w:cs="Arial"/>
          <w:b/>
          <w:i/>
          <w:sz w:val="22"/>
          <w:szCs w:val="22"/>
          <w:shd w:val="clear" w:color="auto" w:fill="FFFFFF"/>
        </w:rPr>
      </w:r>
      <w:r w:rsidR="005A5B10">
        <w:rPr>
          <w:rFonts w:cs="Arial"/>
          <w:b/>
          <w:i/>
          <w:sz w:val="22"/>
          <w:szCs w:val="22"/>
          <w:shd w:val="clear" w:color="auto" w:fill="FFFFFF"/>
        </w:rPr>
        <w:fldChar w:fldCharType="separate"/>
      </w:r>
      <w:r w:rsidRPr="000E3CDC">
        <w:rPr>
          <w:rFonts w:cs="Arial"/>
          <w:b/>
          <w:i/>
          <w:sz w:val="22"/>
          <w:szCs w:val="22"/>
          <w:shd w:val="clear" w:color="auto" w:fill="FFFFFF"/>
        </w:rPr>
        <w:fldChar w:fldCharType="end"/>
      </w:r>
      <w:r w:rsidRPr="000E3CDC">
        <w:rPr>
          <w:rFonts w:cs="Arial"/>
          <w:b/>
          <w:i/>
          <w:sz w:val="22"/>
          <w:szCs w:val="22"/>
          <w:shd w:val="clear" w:color="auto" w:fill="FFFFFF"/>
        </w:rPr>
        <w:t xml:space="preserve">  </w:t>
      </w:r>
      <w:r w:rsidRPr="000E3CDC">
        <w:rPr>
          <w:rFonts w:cs="Arial"/>
          <w:b/>
          <w:sz w:val="22"/>
          <w:szCs w:val="22"/>
        </w:rPr>
        <w:t xml:space="preserve"> </w:t>
      </w:r>
    </w:p>
    <w:p w14:paraId="62B403BD" w14:textId="77777777" w:rsidR="00A35D7B" w:rsidRDefault="00A35D7B" w:rsidP="009679E1">
      <w:pPr>
        <w:tabs>
          <w:tab w:val="left" w:pos="900"/>
        </w:tabs>
        <w:rPr>
          <w:rFonts w:cs="Arial"/>
          <w:b/>
          <w:sz w:val="22"/>
          <w:szCs w:val="22"/>
        </w:rPr>
      </w:pPr>
    </w:p>
    <w:p w14:paraId="2F004D3E" w14:textId="77777777" w:rsidR="00594B23" w:rsidRDefault="00594B23" w:rsidP="009679E1">
      <w:pPr>
        <w:tabs>
          <w:tab w:val="left" w:pos="900"/>
        </w:tabs>
        <w:rPr>
          <w:rFonts w:cs="Arial"/>
          <w:b/>
          <w:sz w:val="22"/>
          <w:szCs w:val="22"/>
        </w:rPr>
      </w:pPr>
    </w:p>
    <w:p w14:paraId="39A0065C" w14:textId="77777777" w:rsidR="00463BFC" w:rsidRDefault="00463BFC" w:rsidP="00463BFC">
      <w:pPr>
        <w:tabs>
          <w:tab w:val="left" w:pos="900"/>
        </w:tabs>
        <w:jc w:val="left"/>
        <w:rPr>
          <w:rFonts w:cs="Arial"/>
          <w:b/>
          <w:sz w:val="22"/>
          <w:szCs w:val="22"/>
        </w:rPr>
      </w:pPr>
      <w:r>
        <w:rPr>
          <w:rFonts w:cs="Arial"/>
          <w:b/>
          <w:sz w:val="22"/>
          <w:szCs w:val="22"/>
        </w:rPr>
        <w:t>If you are responding as an individual …</w:t>
      </w:r>
    </w:p>
    <w:p w14:paraId="4B20D229" w14:textId="77777777" w:rsidR="00463BFC" w:rsidRDefault="00463BFC" w:rsidP="00463BFC">
      <w:pPr>
        <w:tabs>
          <w:tab w:val="left" w:pos="900"/>
        </w:tabs>
        <w:jc w:val="left"/>
        <w:rPr>
          <w:rFonts w:cs="Arial"/>
          <w:b/>
        </w:rPr>
      </w:pPr>
    </w:p>
    <w:tbl>
      <w:tblPr>
        <w:tblStyle w:val="TableGrid"/>
        <w:tblpPr w:leftFromText="180" w:rightFromText="180" w:vertAnchor="text" w:horzAnchor="margin" w:tblpY="6"/>
        <w:tblW w:w="95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021"/>
        <w:gridCol w:w="1550"/>
      </w:tblGrid>
      <w:tr w:rsidR="00A35D7B" w:rsidRPr="003A6741" w14:paraId="0CD5E9A5" w14:textId="77777777" w:rsidTr="00443D96">
        <w:trPr>
          <w:trHeight w:val="278"/>
        </w:trPr>
        <w:tc>
          <w:tcPr>
            <w:tcW w:w="8021" w:type="dxa"/>
            <w:shd w:val="clear" w:color="auto" w:fill="auto"/>
          </w:tcPr>
          <w:p w14:paraId="452B4776" w14:textId="77777777" w:rsidR="00A35D7B" w:rsidRDefault="00A35D7B" w:rsidP="00AE6E91">
            <w:pPr>
              <w:tabs>
                <w:tab w:val="left" w:pos="3600"/>
                <w:tab w:val="left" w:pos="4320"/>
              </w:tabs>
              <w:jc w:val="left"/>
              <w:rPr>
                <w:rFonts w:ascii="Wingdings 3" w:hAnsi="Wingdings 3" w:cs="Arial"/>
                <w:b/>
              </w:rPr>
            </w:pPr>
            <w:r>
              <w:rPr>
                <w:rFonts w:ascii="Wingdings 3" w:hAnsi="Wingdings 3" w:cs="Arial"/>
                <w:b/>
              </w:rPr>
              <w:t></w:t>
            </w:r>
            <w:r>
              <w:rPr>
                <w:rFonts w:ascii="Wingdings 3" w:hAnsi="Wingdings 3" w:cs="Arial"/>
                <w:b/>
              </w:rPr>
              <w:t></w:t>
            </w:r>
            <w:r>
              <w:rPr>
                <w:rFonts w:ascii="Wingdings 3" w:hAnsi="Wingdings 3" w:cs="Arial"/>
                <w:b/>
              </w:rPr>
              <w:t></w:t>
            </w:r>
          </w:p>
          <w:p w14:paraId="2861482B" w14:textId="77777777" w:rsidR="00A35D7B" w:rsidRDefault="00A35D7B" w:rsidP="00AE6E91">
            <w:pPr>
              <w:tabs>
                <w:tab w:val="left" w:pos="3600"/>
                <w:tab w:val="left" w:pos="4320"/>
              </w:tabs>
              <w:jc w:val="left"/>
              <w:rPr>
                <w:rFonts w:cs="Arial"/>
                <w:b/>
                <w:sz w:val="22"/>
                <w:szCs w:val="22"/>
              </w:rPr>
            </w:pPr>
            <w:r>
              <w:rPr>
                <w:rFonts w:cs="Arial"/>
                <w:b/>
                <w:sz w:val="22"/>
                <w:szCs w:val="22"/>
              </w:rPr>
              <w:t xml:space="preserve">Please tell us how you would like your response to be published. </w:t>
            </w:r>
          </w:p>
          <w:p w14:paraId="371A6C58" w14:textId="77777777" w:rsidR="00A35D7B" w:rsidRPr="00667694" w:rsidRDefault="00A35D7B" w:rsidP="00AE6E91">
            <w:pPr>
              <w:tabs>
                <w:tab w:val="left" w:pos="3600"/>
                <w:tab w:val="left" w:pos="4320"/>
              </w:tabs>
              <w:jc w:val="left"/>
              <w:rPr>
                <w:rFonts w:cs="Arial"/>
                <w:sz w:val="22"/>
                <w:szCs w:val="22"/>
              </w:rPr>
            </w:pPr>
          </w:p>
        </w:tc>
        <w:tc>
          <w:tcPr>
            <w:tcW w:w="1550" w:type="dxa"/>
            <w:shd w:val="clear" w:color="auto" w:fill="FFFFFF" w:themeFill="background1"/>
          </w:tcPr>
          <w:p w14:paraId="0BBB33D4" w14:textId="77777777" w:rsidR="00A35D7B" w:rsidRDefault="00A35D7B" w:rsidP="00AE6E91">
            <w:pPr>
              <w:tabs>
                <w:tab w:val="left" w:pos="3600"/>
                <w:tab w:val="left" w:pos="4320"/>
              </w:tabs>
              <w:jc w:val="center"/>
              <w:rPr>
                <w:rFonts w:cs="Arial"/>
                <w:b/>
                <w:i/>
                <w:sz w:val="22"/>
                <w:szCs w:val="22"/>
                <w:shd w:val="clear" w:color="auto" w:fill="FFFFFF"/>
              </w:rPr>
            </w:pPr>
          </w:p>
          <w:p w14:paraId="27C006E9" w14:textId="77777777" w:rsidR="00A35D7B" w:rsidRPr="003A6741" w:rsidRDefault="00A35D7B" w:rsidP="00AE6E91">
            <w:pPr>
              <w:tabs>
                <w:tab w:val="left" w:pos="3600"/>
                <w:tab w:val="left" w:pos="4320"/>
              </w:tabs>
              <w:jc w:val="center"/>
              <w:rPr>
                <w:rFonts w:cs="Arial"/>
                <w:b/>
                <w:i/>
                <w:sz w:val="22"/>
                <w:szCs w:val="22"/>
                <w:shd w:val="clear" w:color="auto" w:fill="FFFFFF"/>
              </w:rPr>
            </w:pPr>
            <w:r>
              <w:rPr>
                <w:rFonts w:cs="Arial"/>
                <w:b/>
                <w:i/>
                <w:sz w:val="22"/>
                <w:szCs w:val="22"/>
                <w:shd w:val="clear" w:color="auto" w:fill="FFFFFF"/>
              </w:rPr>
              <w:t>Pick 1</w:t>
            </w:r>
          </w:p>
        </w:tc>
      </w:tr>
      <w:tr w:rsidR="00A35D7B" w:rsidRPr="003A6741" w14:paraId="4EEBE464" w14:textId="77777777" w:rsidTr="00443D96">
        <w:trPr>
          <w:trHeight w:val="462"/>
        </w:trPr>
        <w:tc>
          <w:tcPr>
            <w:tcW w:w="8021" w:type="dxa"/>
            <w:shd w:val="clear" w:color="auto" w:fill="auto"/>
          </w:tcPr>
          <w:p w14:paraId="05711FFC" w14:textId="77777777" w:rsidR="00A35D7B" w:rsidRDefault="00A35D7B" w:rsidP="00AE6E91">
            <w:pPr>
              <w:tabs>
                <w:tab w:val="left" w:pos="3600"/>
                <w:tab w:val="left" w:pos="4320"/>
              </w:tabs>
              <w:jc w:val="left"/>
              <w:rPr>
                <w:rFonts w:cs="Arial"/>
                <w:sz w:val="22"/>
                <w:szCs w:val="22"/>
              </w:rPr>
            </w:pPr>
            <w:r w:rsidRPr="000E3CDC">
              <w:rPr>
                <w:rFonts w:cs="Arial"/>
                <w:sz w:val="22"/>
                <w:szCs w:val="22"/>
              </w:rPr>
              <w:t xml:space="preserve">Publish my full </w:t>
            </w:r>
            <w:r w:rsidR="007E21D7">
              <w:rPr>
                <w:rFonts w:cs="Arial"/>
                <w:sz w:val="22"/>
                <w:szCs w:val="22"/>
              </w:rPr>
              <w:t xml:space="preserve">response, including my name </w:t>
            </w:r>
            <w:r w:rsidRPr="000E3CDC">
              <w:rPr>
                <w:rFonts w:cs="Arial"/>
                <w:sz w:val="22"/>
                <w:szCs w:val="22"/>
              </w:rPr>
              <w:t xml:space="preserve"> </w:t>
            </w:r>
          </w:p>
          <w:p w14:paraId="5FE4AD22" w14:textId="77777777" w:rsidR="00A35D7B" w:rsidRPr="000E3CDC" w:rsidRDefault="00A35D7B" w:rsidP="00AE6E91">
            <w:pPr>
              <w:tabs>
                <w:tab w:val="left" w:pos="3600"/>
                <w:tab w:val="left" w:pos="4320"/>
              </w:tabs>
              <w:jc w:val="left"/>
              <w:rPr>
                <w:rFonts w:cs="Arial"/>
                <w:sz w:val="22"/>
                <w:szCs w:val="22"/>
              </w:rPr>
            </w:pPr>
          </w:p>
        </w:tc>
        <w:tc>
          <w:tcPr>
            <w:tcW w:w="1550" w:type="dxa"/>
            <w:shd w:val="clear" w:color="auto" w:fill="FFFFFF" w:themeFill="background1"/>
          </w:tcPr>
          <w:p w14:paraId="62D2E018" w14:textId="77777777" w:rsidR="00A35D7B" w:rsidRPr="003A6741" w:rsidRDefault="00AA336A" w:rsidP="00AE6E91">
            <w:pPr>
              <w:tabs>
                <w:tab w:val="left" w:pos="3600"/>
                <w:tab w:val="left" w:pos="4320"/>
              </w:tabs>
              <w:jc w:val="center"/>
              <w:rPr>
                <w:rFonts w:cs="Arial"/>
                <w:b/>
                <w:i/>
                <w:sz w:val="22"/>
                <w:szCs w:val="22"/>
                <w:shd w:val="clear" w:color="auto" w:fill="FFFFFF"/>
              </w:rPr>
            </w:pPr>
            <w:r>
              <w:rPr>
                <w:rFonts w:cs="Arial"/>
                <w:b/>
                <w:i/>
                <w:sz w:val="22"/>
                <w:szCs w:val="22"/>
                <w:shd w:val="clear" w:color="auto" w:fill="FFFFFF"/>
              </w:rPr>
              <w:fldChar w:fldCharType="begin">
                <w:ffData>
                  <w:name w:val=""/>
                  <w:enabled/>
                  <w:calcOnExit w:val="0"/>
                  <w:checkBox>
                    <w:size w:val="22"/>
                    <w:default w:val="1"/>
                  </w:checkBox>
                </w:ffData>
              </w:fldChar>
            </w:r>
            <w:r>
              <w:rPr>
                <w:rFonts w:cs="Arial"/>
                <w:b/>
                <w:i/>
                <w:sz w:val="22"/>
                <w:szCs w:val="22"/>
                <w:shd w:val="clear" w:color="auto" w:fill="FFFFFF"/>
              </w:rPr>
              <w:instrText xml:space="preserve"> FORMCHECKBOX </w:instrText>
            </w:r>
            <w:r w:rsidR="005A5B10">
              <w:rPr>
                <w:rFonts w:cs="Arial"/>
                <w:b/>
                <w:i/>
                <w:sz w:val="22"/>
                <w:szCs w:val="22"/>
                <w:shd w:val="clear" w:color="auto" w:fill="FFFFFF"/>
              </w:rPr>
            </w:r>
            <w:r w:rsidR="005A5B10">
              <w:rPr>
                <w:rFonts w:cs="Arial"/>
                <w:b/>
                <w:i/>
                <w:sz w:val="22"/>
                <w:szCs w:val="22"/>
                <w:shd w:val="clear" w:color="auto" w:fill="FFFFFF"/>
              </w:rPr>
              <w:fldChar w:fldCharType="separate"/>
            </w:r>
            <w:r>
              <w:rPr>
                <w:rFonts w:cs="Arial"/>
                <w:b/>
                <w:i/>
                <w:sz w:val="22"/>
                <w:szCs w:val="22"/>
                <w:shd w:val="clear" w:color="auto" w:fill="FFFFFF"/>
              </w:rPr>
              <w:fldChar w:fldCharType="end"/>
            </w:r>
          </w:p>
        </w:tc>
      </w:tr>
      <w:tr w:rsidR="00A35D7B" w:rsidRPr="00582AE6" w14:paraId="1B7AF844" w14:textId="77777777" w:rsidTr="00443D96">
        <w:tc>
          <w:tcPr>
            <w:tcW w:w="8021" w:type="dxa"/>
          </w:tcPr>
          <w:p w14:paraId="4AA5AAD7" w14:textId="77777777" w:rsidR="00A35D7B" w:rsidRDefault="00A35D7B" w:rsidP="00AE6E91">
            <w:pPr>
              <w:tabs>
                <w:tab w:val="left" w:pos="3600"/>
                <w:tab w:val="left" w:pos="4320"/>
              </w:tabs>
              <w:jc w:val="left"/>
              <w:rPr>
                <w:rFonts w:cs="Arial"/>
                <w:sz w:val="22"/>
                <w:szCs w:val="22"/>
              </w:rPr>
            </w:pPr>
            <w:r w:rsidRPr="000E3CDC">
              <w:rPr>
                <w:rFonts w:cs="Arial"/>
                <w:sz w:val="22"/>
                <w:szCs w:val="22"/>
              </w:rPr>
              <w:t>Please publish my response</w:t>
            </w:r>
            <w:r w:rsidR="007E21D7">
              <w:rPr>
                <w:rFonts w:cs="Arial"/>
                <w:sz w:val="22"/>
                <w:szCs w:val="22"/>
              </w:rPr>
              <w:t>, but not my name</w:t>
            </w:r>
            <w:r w:rsidRPr="000E3CDC">
              <w:rPr>
                <w:rFonts w:cs="Arial"/>
                <w:sz w:val="22"/>
                <w:szCs w:val="22"/>
              </w:rPr>
              <w:t xml:space="preserve"> </w:t>
            </w:r>
          </w:p>
          <w:p w14:paraId="5097E421" w14:textId="77777777" w:rsidR="00A35D7B" w:rsidRPr="000E3CDC" w:rsidRDefault="00A35D7B" w:rsidP="00AE6E91">
            <w:pPr>
              <w:tabs>
                <w:tab w:val="left" w:pos="3600"/>
                <w:tab w:val="left" w:pos="4320"/>
              </w:tabs>
              <w:jc w:val="left"/>
              <w:rPr>
                <w:rFonts w:cs="Arial"/>
                <w:sz w:val="22"/>
                <w:szCs w:val="22"/>
              </w:rPr>
            </w:pPr>
          </w:p>
        </w:tc>
        <w:tc>
          <w:tcPr>
            <w:tcW w:w="1550" w:type="dxa"/>
          </w:tcPr>
          <w:p w14:paraId="6E17A0A6" w14:textId="77777777" w:rsidR="00A35D7B" w:rsidRPr="00582AE6" w:rsidRDefault="00A35D7B" w:rsidP="00AE6E91">
            <w:pPr>
              <w:tabs>
                <w:tab w:val="left" w:pos="3600"/>
                <w:tab w:val="left" w:pos="4320"/>
              </w:tabs>
              <w:jc w:val="center"/>
              <w:rPr>
                <w:rFonts w:cs="Arial"/>
                <w:sz w:val="22"/>
                <w:szCs w:val="22"/>
              </w:rPr>
            </w:pPr>
            <w:r w:rsidRPr="003A6741">
              <w:rPr>
                <w:rFonts w:cs="Arial"/>
                <w:b/>
                <w:i/>
                <w:sz w:val="22"/>
                <w:szCs w:val="22"/>
                <w:shd w:val="clear" w:color="auto" w:fill="FFFFFF"/>
              </w:rPr>
              <w:fldChar w:fldCharType="begin">
                <w:ffData>
                  <w:name w:val=""/>
                  <w:enabled/>
                  <w:calcOnExit w:val="0"/>
                  <w:checkBox>
                    <w:size w:val="22"/>
                    <w:default w:val="0"/>
                    <w:checked w:val="0"/>
                  </w:checkBox>
                </w:ffData>
              </w:fldChar>
            </w:r>
            <w:r w:rsidRPr="003A6741">
              <w:rPr>
                <w:rFonts w:cs="Arial"/>
                <w:b/>
                <w:i/>
                <w:sz w:val="22"/>
                <w:szCs w:val="22"/>
                <w:shd w:val="clear" w:color="auto" w:fill="FFFFFF"/>
              </w:rPr>
              <w:instrText xml:space="preserve"> FORMCHECKBOX </w:instrText>
            </w:r>
            <w:r w:rsidR="005A5B10">
              <w:rPr>
                <w:rFonts w:cs="Arial"/>
                <w:b/>
                <w:i/>
                <w:sz w:val="22"/>
                <w:szCs w:val="22"/>
                <w:shd w:val="clear" w:color="auto" w:fill="FFFFFF"/>
              </w:rPr>
            </w:r>
            <w:r w:rsidR="005A5B10">
              <w:rPr>
                <w:rFonts w:cs="Arial"/>
                <w:b/>
                <w:i/>
                <w:sz w:val="22"/>
                <w:szCs w:val="22"/>
                <w:shd w:val="clear" w:color="auto" w:fill="FFFFFF"/>
              </w:rPr>
              <w:fldChar w:fldCharType="separate"/>
            </w:r>
            <w:r w:rsidRPr="003A6741">
              <w:rPr>
                <w:rFonts w:cs="Arial"/>
                <w:b/>
                <w:i/>
                <w:sz w:val="22"/>
                <w:szCs w:val="22"/>
                <w:shd w:val="clear" w:color="auto" w:fill="FFFFFF"/>
              </w:rPr>
              <w:fldChar w:fldCharType="end"/>
            </w:r>
          </w:p>
        </w:tc>
      </w:tr>
    </w:tbl>
    <w:p w14:paraId="57931B33" w14:textId="77777777" w:rsidR="00A35D7B" w:rsidRDefault="00A35D7B" w:rsidP="009679E1">
      <w:pPr>
        <w:tabs>
          <w:tab w:val="left" w:pos="900"/>
        </w:tabs>
        <w:rPr>
          <w:rFonts w:cs="Arial"/>
          <w:b/>
        </w:rPr>
      </w:pPr>
    </w:p>
    <w:p w14:paraId="41874CD8" w14:textId="77777777" w:rsidR="00A35D7B" w:rsidRDefault="00A35D7B" w:rsidP="009679E1">
      <w:pPr>
        <w:tabs>
          <w:tab w:val="left" w:pos="900"/>
        </w:tabs>
        <w:rPr>
          <w:rFonts w:cs="Arial"/>
          <w:b/>
        </w:rPr>
      </w:pPr>
    </w:p>
    <w:p w14:paraId="7E9BC1B9" w14:textId="77777777" w:rsidR="00A35D7B" w:rsidRDefault="00DB32B2" w:rsidP="009679E1">
      <w:pPr>
        <w:tabs>
          <w:tab w:val="left" w:pos="900"/>
        </w:tabs>
        <w:rPr>
          <w:rFonts w:cs="Arial"/>
          <w:b/>
        </w:rPr>
      </w:pPr>
      <w:r>
        <w:rPr>
          <w:rFonts w:cs="Arial"/>
          <w:b/>
        </w:rPr>
        <w:lastRenderedPageBreak/>
        <w:t>Summary of Key Points</w:t>
      </w:r>
    </w:p>
    <w:p w14:paraId="3863CC72" w14:textId="77777777" w:rsidR="00DB32B2" w:rsidRDefault="00DB32B2" w:rsidP="009679E1">
      <w:pPr>
        <w:tabs>
          <w:tab w:val="left" w:pos="900"/>
        </w:tabs>
        <w:rPr>
          <w:rFonts w:cs="Arial"/>
          <w:b/>
        </w:rPr>
      </w:pPr>
    </w:p>
    <w:p w14:paraId="67A6FD2A" w14:textId="7128447E" w:rsidR="006D53C3" w:rsidRDefault="00DB32B2" w:rsidP="006D53C3">
      <w:pPr>
        <w:pStyle w:val="ListParagraph"/>
        <w:numPr>
          <w:ilvl w:val="0"/>
          <w:numId w:val="13"/>
        </w:numPr>
        <w:tabs>
          <w:tab w:val="left" w:pos="900"/>
        </w:tabs>
        <w:rPr>
          <w:rFonts w:cs="Arial"/>
          <w:b/>
        </w:rPr>
      </w:pPr>
      <w:r>
        <w:rPr>
          <w:rFonts w:cs="Arial"/>
          <w:b/>
        </w:rPr>
        <w:t xml:space="preserve">There are many </w:t>
      </w:r>
      <w:r w:rsidR="008A662B">
        <w:rPr>
          <w:rFonts w:cs="Arial"/>
          <w:b/>
        </w:rPr>
        <w:t>elements of a rights based approach</w:t>
      </w:r>
      <w:r>
        <w:rPr>
          <w:rFonts w:cs="Arial"/>
          <w:b/>
        </w:rPr>
        <w:t xml:space="preserve"> within the proposed framewor</w:t>
      </w:r>
      <w:r w:rsidR="00AE0A4B">
        <w:rPr>
          <w:rFonts w:cs="Arial"/>
          <w:b/>
        </w:rPr>
        <w:t>k for regulation</w:t>
      </w:r>
      <w:r w:rsidR="006D53C3">
        <w:rPr>
          <w:rFonts w:cs="Arial"/>
          <w:b/>
        </w:rPr>
        <w:t xml:space="preserve"> and the Commission welcomes these</w:t>
      </w:r>
      <w:r w:rsidR="00AE0A4B">
        <w:rPr>
          <w:rFonts w:cs="Arial"/>
          <w:b/>
        </w:rPr>
        <w:t xml:space="preserve">. However, </w:t>
      </w:r>
      <w:r w:rsidR="00155650">
        <w:rPr>
          <w:rFonts w:cs="Arial"/>
          <w:b/>
        </w:rPr>
        <w:t>a</w:t>
      </w:r>
      <w:r w:rsidR="00AE0A4B">
        <w:rPr>
          <w:rFonts w:cs="Arial"/>
          <w:b/>
        </w:rPr>
        <w:t xml:space="preserve"> more</w:t>
      </w:r>
      <w:r w:rsidR="00155650">
        <w:rPr>
          <w:rFonts w:cs="Arial"/>
          <w:b/>
        </w:rPr>
        <w:t xml:space="preserve"> systematic engagement with</w:t>
      </w:r>
      <w:r w:rsidR="00AE0A4B">
        <w:rPr>
          <w:rFonts w:cs="Arial"/>
          <w:b/>
        </w:rPr>
        <w:t xml:space="preserve"> international human rights law</w:t>
      </w:r>
      <w:r w:rsidR="008A662B">
        <w:rPr>
          <w:rFonts w:cs="Arial"/>
          <w:b/>
        </w:rPr>
        <w:t xml:space="preserve"> on housing</w:t>
      </w:r>
      <w:r w:rsidR="00AE0A4B">
        <w:rPr>
          <w:rFonts w:cs="Arial"/>
          <w:b/>
        </w:rPr>
        <w:t xml:space="preserve"> </w:t>
      </w:r>
      <w:r w:rsidR="006D53C3">
        <w:rPr>
          <w:rFonts w:cs="Arial"/>
          <w:b/>
        </w:rPr>
        <w:t>by the Scottish Housing Regulator could</w:t>
      </w:r>
      <w:r w:rsidR="00AE0A4B">
        <w:rPr>
          <w:rFonts w:cs="Arial"/>
          <w:b/>
        </w:rPr>
        <w:t xml:space="preserve"> strengthen </w:t>
      </w:r>
      <w:r w:rsidR="006D53C3">
        <w:rPr>
          <w:rFonts w:cs="Arial"/>
          <w:b/>
        </w:rPr>
        <w:t>regulation of social housing, for example through incorporating rights based standards within the regulatory framework.</w:t>
      </w:r>
    </w:p>
    <w:p w14:paraId="0C4B269A" w14:textId="77777777" w:rsidR="006D53C3" w:rsidRDefault="006D53C3" w:rsidP="006D53C3">
      <w:pPr>
        <w:pStyle w:val="ListParagraph"/>
        <w:tabs>
          <w:tab w:val="left" w:pos="900"/>
        </w:tabs>
        <w:rPr>
          <w:rFonts w:cs="Arial"/>
          <w:b/>
        </w:rPr>
      </w:pPr>
    </w:p>
    <w:p w14:paraId="3A149C77" w14:textId="772C5868" w:rsidR="006D53C3" w:rsidRDefault="006D53C3" w:rsidP="00DB32B2">
      <w:pPr>
        <w:pStyle w:val="ListParagraph"/>
        <w:numPr>
          <w:ilvl w:val="0"/>
          <w:numId w:val="13"/>
        </w:numPr>
        <w:tabs>
          <w:tab w:val="left" w:pos="900"/>
        </w:tabs>
        <w:rPr>
          <w:rFonts w:cs="Arial"/>
          <w:b/>
        </w:rPr>
      </w:pPr>
      <w:r>
        <w:rPr>
          <w:rFonts w:cs="Arial"/>
          <w:b/>
        </w:rPr>
        <w:t>The Commission recognises the value of landlord self-assurance, but would like to see further opportunities for tenants to test and validate</w:t>
      </w:r>
      <w:r w:rsidR="00526EA9">
        <w:rPr>
          <w:rFonts w:cs="Arial"/>
          <w:b/>
        </w:rPr>
        <w:t xml:space="preserve"> agreed landlord  Annual A</w:t>
      </w:r>
      <w:r w:rsidR="00EA1C95">
        <w:rPr>
          <w:rFonts w:cs="Arial"/>
          <w:b/>
        </w:rPr>
        <w:t>ssurance S</w:t>
      </w:r>
      <w:r>
        <w:rPr>
          <w:rFonts w:cs="Arial"/>
          <w:b/>
        </w:rPr>
        <w:t>tatements.</w:t>
      </w:r>
    </w:p>
    <w:p w14:paraId="59DF5F20" w14:textId="77777777" w:rsidR="008A662B" w:rsidRDefault="008A662B" w:rsidP="008A662B">
      <w:pPr>
        <w:pStyle w:val="ListParagraph"/>
        <w:tabs>
          <w:tab w:val="left" w:pos="900"/>
        </w:tabs>
        <w:rPr>
          <w:rFonts w:cs="Arial"/>
          <w:b/>
        </w:rPr>
      </w:pPr>
    </w:p>
    <w:p w14:paraId="7604284D" w14:textId="0B6CF354" w:rsidR="008A662B" w:rsidRDefault="00F10726" w:rsidP="00DB32B2">
      <w:pPr>
        <w:pStyle w:val="ListParagraph"/>
        <w:numPr>
          <w:ilvl w:val="0"/>
          <w:numId w:val="13"/>
        </w:numPr>
        <w:tabs>
          <w:tab w:val="left" w:pos="900"/>
        </w:tabs>
        <w:rPr>
          <w:rFonts w:cs="Arial"/>
          <w:b/>
        </w:rPr>
      </w:pPr>
      <w:r>
        <w:rPr>
          <w:rFonts w:cs="Arial"/>
          <w:b/>
        </w:rPr>
        <w:t>Landlord Annual Assurance Statements should contain an evaluation of la</w:t>
      </w:r>
      <w:r w:rsidR="00382EEE">
        <w:rPr>
          <w:rFonts w:cs="Arial"/>
          <w:b/>
        </w:rPr>
        <w:t>ndlord performance against the</w:t>
      </w:r>
      <w:r>
        <w:rPr>
          <w:rFonts w:cs="Arial"/>
          <w:b/>
        </w:rPr>
        <w:t xml:space="preserve"> elements of the right to housing set out in General Comment 4 of the Committee on Economic, </w:t>
      </w:r>
      <w:r w:rsidR="00F9174C">
        <w:rPr>
          <w:rFonts w:cs="Arial"/>
          <w:b/>
        </w:rPr>
        <w:t xml:space="preserve">Social and Cultural Rights, and, </w:t>
      </w:r>
      <w:r>
        <w:rPr>
          <w:rFonts w:cs="Arial"/>
          <w:b/>
        </w:rPr>
        <w:t>where these standards have not been met, should include a summary of</w:t>
      </w:r>
      <w:r w:rsidR="00526EA9">
        <w:rPr>
          <w:rFonts w:cs="Arial"/>
          <w:b/>
        </w:rPr>
        <w:t xml:space="preserve"> plans </w:t>
      </w:r>
      <w:r w:rsidR="00F9174C">
        <w:rPr>
          <w:rFonts w:cs="Arial"/>
          <w:b/>
        </w:rPr>
        <w:t xml:space="preserve">intended </w:t>
      </w:r>
      <w:r w:rsidR="00526EA9">
        <w:rPr>
          <w:rFonts w:cs="Arial"/>
          <w:b/>
        </w:rPr>
        <w:t>to address these issues.</w:t>
      </w:r>
    </w:p>
    <w:p w14:paraId="5D7460FD" w14:textId="77777777" w:rsidR="008A662B" w:rsidRDefault="008A662B" w:rsidP="008A662B">
      <w:pPr>
        <w:pStyle w:val="ListParagraph"/>
        <w:tabs>
          <w:tab w:val="left" w:pos="900"/>
        </w:tabs>
        <w:rPr>
          <w:rFonts w:cs="Arial"/>
          <w:b/>
        </w:rPr>
      </w:pPr>
    </w:p>
    <w:p w14:paraId="3F62A553" w14:textId="24EE6342" w:rsidR="008A662B" w:rsidRDefault="008A662B" w:rsidP="00DB32B2">
      <w:pPr>
        <w:pStyle w:val="ListParagraph"/>
        <w:numPr>
          <w:ilvl w:val="0"/>
          <w:numId w:val="13"/>
        </w:numPr>
        <w:tabs>
          <w:tab w:val="left" w:pos="900"/>
        </w:tabs>
        <w:rPr>
          <w:rFonts w:cs="Arial"/>
          <w:b/>
        </w:rPr>
      </w:pPr>
      <w:r>
        <w:rPr>
          <w:rFonts w:cs="Arial"/>
          <w:b/>
        </w:rPr>
        <w:t>Recording and monitoring of data under the Equality Act 2010 provides landlords with the information they need to assess which communities are furthest away from realising the right to housing and taking necessary steps to address this.</w:t>
      </w:r>
    </w:p>
    <w:p w14:paraId="68629AF7" w14:textId="77777777" w:rsidR="0006190C" w:rsidRDefault="0006190C" w:rsidP="0006190C">
      <w:pPr>
        <w:pStyle w:val="ListParagraph"/>
        <w:tabs>
          <w:tab w:val="left" w:pos="900"/>
        </w:tabs>
        <w:rPr>
          <w:rFonts w:cs="Arial"/>
          <w:b/>
        </w:rPr>
      </w:pPr>
    </w:p>
    <w:p w14:paraId="2B48505A" w14:textId="4C34FFC4" w:rsidR="0006190C" w:rsidRDefault="0006190C" w:rsidP="00DB32B2">
      <w:pPr>
        <w:pStyle w:val="ListParagraph"/>
        <w:numPr>
          <w:ilvl w:val="0"/>
          <w:numId w:val="13"/>
        </w:numPr>
        <w:tabs>
          <w:tab w:val="left" w:pos="900"/>
        </w:tabs>
        <w:rPr>
          <w:rFonts w:cs="Arial"/>
          <w:b/>
        </w:rPr>
      </w:pPr>
      <w:r>
        <w:rPr>
          <w:rFonts w:cs="Arial"/>
          <w:b/>
        </w:rPr>
        <w:t>The Commission recommends that Social Housing Indicators be analysed through the lens of the right to housing under human rights law, to ensure that these indicators are capable of providing information on the realisation of the right to housing. These indicators could be changed and updated to reflect the rights framework if they do not adequately reflect rights; this will be a key way to monitor progress and ensure accountability.</w:t>
      </w:r>
    </w:p>
    <w:p w14:paraId="7B59F9C4" w14:textId="15ECCB38" w:rsidR="00A35D7B" w:rsidRDefault="00A35D7B" w:rsidP="009679E1">
      <w:pPr>
        <w:tabs>
          <w:tab w:val="left" w:pos="900"/>
        </w:tabs>
        <w:rPr>
          <w:rFonts w:cs="Arial"/>
          <w:b/>
        </w:rPr>
      </w:pPr>
    </w:p>
    <w:p w14:paraId="45CFD48E" w14:textId="77777777" w:rsidR="00D86EB7" w:rsidRPr="00D86EB7" w:rsidRDefault="00D86EB7" w:rsidP="001F3820">
      <w:pPr>
        <w:jc w:val="left"/>
      </w:pPr>
    </w:p>
    <w:p w14:paraId="511A2B45" w14:textId="77777777" w:rsidR="00E566C4" w:rsidRDefault="00102C5F" w:rsidP="00E82FF6">
      <w:pPr>
        <w:pStyle w:val="ListParagraph"/>
        <w:numPr>
          <w:ilvl w:val="0"/>
          <w:numId w:val="6"/>
        </w:numPr>
        <w:tabs>
          <w:tab w:val="clear" w:pos="720"/>
          <w:tab w:val="left" w:pos="426"/>
        </w:tabs>
        <w:jc w:val="left"/>
      </w:pPr>
      <w:r>
        <w:t xml:space="preserve">Is our overall approach, set out in Chapter 2 of the Framework, right? Do you have any other comments? </w:t>
      </w:r>
      <w:r w:rsidR="002839AA">
        <w:tab/>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4E5CC6" w:rsidRPr="0005655E" w14:paraId="0F15F928" w14:textId="77777777" w:rsidTr="004D48A8">
        <w:trPr>
          <w:trHeight w:val="346"/>
        </w:trPr>
        <w:tc>
          <w:tcPr>
            <w:tcW w:w="9190" w:type="dxa"/>
            <w:vAlign w:val="center"/>
          </w:tcPr>
          <w:p w14:paraId="73FACE2E" w14:textId="60FEDBEB" w:rsidR="00AA336A" w:rsidRDefault="00AA336A" w:rsidP="00240B29">
            <w:pPr>
              <w:jc w:val="left"/>
              <w:rPr>
                <w:rFonts w:cs="Arial"/>
                <w:sz w:val="20"/>
              </w:rPr>
            </w:pPr>
            <w:r>
              <w:rPr>
                <w:rFonts w:cs="Arial"/>
                <w:sz w:val="20"/>
              </w:rPr>
              <w:t>The Scottish Human Rights Commission (the Commission) welcomes the opportunity to provide feedback on the Scottish Housing Regulator’s (the Regulator) Draft Framework for Regulation of Social Housing in Scotland. We are heartened that a commitment to promoting equality and human ri</w:t>
            </w:r>
            <w:r w:rsidR="00F9174C">
              <w:rPr>
                <w:rFonts w:cs="Arial"/>
                <w:sz w:val="20"/>
              </w:rPr>
              <w:t xml:space="preserve">ghts feature centrally within the Draft Framework; in our view, the promotion and protection of tenants’ human rights, and particularly the right to housing is core to the Regulator’s statutory objective to safeguard and promote the interests of current and future tenants, homeless people and other service users. </w:t>
            </w:r>
            <w:r>
              <w:rPr>
                <w:rFonts w:cs="Arial"/>
                <w:sz w:val="20"/>
              </w:rPr>
              <w:t xml:space="preserve"> However, as we explain in greater detail below, a more systematic engagement with the standards and requirements of</w:t>
            </w:r>
            <w:r w:rsidR="006E1B49">
              <w:rPr>
                <w:rFonts w:cs="Arial"/>
                <w:sz w:val="20"/>
              </w:rPr>
              <w:t xml:space="preserve"> international human rights law</w:t>
            </w:r>
            <w:r>
              <w:rPr>
                <w:rFonts w:cs="Arial"/>
                <w:sz w:val="20"/>
              </w:rPr>
              <w:t xml:space="preserve"> with respect to housing, but also in terms of participation, access to justice and remedy for tenants, could further strengthen the Re</w:t>
            </w:r>
            <w:r w:rsidR="006E1B49">
              <w:rPr>
                <w:rFonts w:cs="Arial"/>
                <w:sz w:val="20"/>
              </w:rPr>
              <w:t>gulator’s approach across its functions.</w:t>
            </w:r>
          </w:p>
          <w:p w14:paraId="77C4ABED" w14:textId="77777777" w:rsidR="00AA336A" w:rsidRDefault="00AA336A" w:rsidP="00240B29">
            <w:pPr>
              <w:jc w:val="left"/>
              <w:rPr>
                <w:rFonts w:cs="Arial"/>
                <w:sz w:val="20"/>
              </w:rPr>
            </w:pPr>
          </w:p>
          <w:p w14:paraId="40945361" w14:textId="076AE867" w:rsidR="00AA336A" w:rsidRDefault="00AA336A" w:rsidP="00240B29">
            <w:pPr>
              <w:jc w:val="left"/>
              <w:rPr>
                <w:rFonts w:cs="Arial"/>
                <w:sz w:val="20"/>
              </w:rPr>
            </w:pPr>
            <w:r>
              <w:rPr>
                <w:rFonts w:cs="Arial"/>
                <w:sz w:val="20"/>
              </w:rPr>
              <w:t>We are pleased to see the approach to regulation adopts many of the principles which underpin human rights based approaches. These principles set out how any organisation can adopt a human rights based approach to their work and are based on internationally a</w:t>
            </w:r>
            <w:r w:rsidR="00300B80">
              <w:rPr>
                <w:rFonts w:cs="Arial"/>
                <w:sz w:val="20"/>
              </w:rPr>
              <w:t xml:space="preserve">greed human rights standards [for more information about the PANEL principles, please visit our </w:t>
            </w:r>
            <w:hyperlink r:id="rId12" w:history="1">
              <w:r w:rsidR="00300B80" w:rsidRPr="00BA74B4">
                <w:rPr>
                  <w:rStyle w:val="Hyperlink"/>
                  <w:rFonts w:cs="Arial"/>
                  <w:sz w:val="20"/>
                </w:rPr>
                <w:t>website</w:t>
              </w:r>
            </w:hyperlink>
            <w:r w:rsidR="006E1B49">
              <w:rPr>
                <w:rFonts w:cs="Arial"/>
                <w:sz w:val="20"/>
              </w:rPr>
              <w:t>]</w:t>
            </w:r>
            <w:r w:rsidR="00BA74B4">
              <w:rPr>
                <w:rFonts w:cs="Arial"/>
                <w:sz w:val="20"/>
              </w:rPr>
              <w:t xml:space="preserve">. </w:t>
            </w:r>
            <w:r>
              <w:rPr>
                <w:rFonts w:cs="Arial"/>
                <w:sz w:val="20"/>
              </w:rPr>
              <w:t>The principles are as follows:</w:t>
            </w:r>
          </w:p>
          <w:p w14:paraId="154F862F" w14:textId="77777777" w:rsidR="00AA336A" w:rsidRDefault="00AA336A" w:rsidP="00240B29">
            <w:pPr>
              <w:jc w:val="left"/>
              <w:rPr>
                <w:rFonts w:cs="Arial"/>
                <w:sz w:val="20"/>
              </w:rPr>
            </w:pPr>
          </w:p>
          <w:p w14:paraId="26DB79AA" w14:textId="40B5BC0E" w:rsidR="00AA336A" w:rsidRDefault="00AA336A" w:rsidP="00240B29">
            <w:pPr>
              <w:jc w:val="left"/>
              <w:rPr>
                <w:rFonts w:cs="Arial"/>
                <w:sz w:val="20"/>
              </w:rPr>
            </w:pPr>
            <w:r w:rsidRPr="00BA74B4">
              <w:rPr>
                <w:rFonts w:cs="Arial"/>
                <w:b/>
                <w:sz w:val="20"/>
              </w:rPr>
              <w:t>Participation</w:t>
            </w:r>
            <w:r w:rsidR="006E1B49">
              <w:rPr>
                <w:rFonts w:cs="Arial"/>
                <w:sz w:val="20"/>
              </w:rPr>
              <w:t xml:space="preserve"> - </w:t>
            </w:r>
            <w:r w:rsidR="006E1B49" w:rsidRPr="006E1B49">
              <w:rPr>
                <w:rFonts w:cs="Arial"/>
                <w:sz w:val="20"/>
              </w:rPr>
              <w:t>People should be involved in decisions that affect their rights</w:t>
            </w:r>
            <w:r w:rsidR="006E1B49">
              <w:rPr>
                <w:rFonts w:cs="Arial"/>
                <w:sz w:val="20"/>
              </w:rPr>
              <w:t xml:space="preserve">. In this context, this means that tenants should be meaningfully involved in decisions which affect their housing, with the right support to participate. Tenants also have a role to play in </w:t>
            </w:r>
            <w:r w:rsidR="00F9174C">
              <w:rPr>
                <w:rFonts w:cs="Arial"/>
                <w:sz w:val="20"/>
              </w:rPr>
              <w:t xml:space="preserve">defining, </w:t>
            </w:r>
            <w:r w:rsidR="006E1B49">
              <w:rPr>
                <w:rFonts w:cs="Arial"/>
                <w:sz w:val="20"/>
              </w:rPr>
              <w:t xml:space="preserve">monitoring and enforcing </w:t>
            </w:r>
            <w:r w:rsidR="00E14FAF">
              <w:rPr>
                <w:rFonts w:cs="Arial"/>
                <w:sz w:val="20"/>
              </w:rPr>
              <w:t xml:space="preserve">the </w:t>
            </w:r>
            <w:r w:rsidR="00E14FAF">
              <w:rPr>
                <w:rFonts w:cs="Arial"/>
                <w:sz w:val="20"/>
              </w:rPr>
              <w:lastRenderedPageBreak/>
              <w:t>standards set out for landlords in domestic and international law and holding landlords to account when these standards are not met.</w:t>
            </w:r>
            <w:r w:rsidR="0021059B">
              <w:rPr>
                <w:rFonts w:cs="Arial"/>
                <w:sz w:val="20"/>
              </w:rPr>
              <w:t xml:space="preserve"> We are pleased that the Regulator has been engaging widely with tenants across Scotland and that there are tenants within the governance structure of the organisation who are able to provide a lived experience perspective within the Board’s decision-making.</w:t>
            </w:r>
          </w:p>
          <w:p w14:paraId="4CD73843" w14:textId="77777777" w:rsidR="006E1B49" w:rsidRPr="00BA74B4" w:rsidRDefault="006E1B49" w:rsidP="00240B29">
            <w:pPr>
              <w:jc w:val="left"/>
              <w:rPr>
                <w:rFonts w:cs="Arial"/>
                <w:b/>
                <w:sz w:val="20"/>
              </w:rPr>
            </w:pPr>
          </w:p>
          <w:p w14:paraId="77964372" w14:textId="245915E6" w:rsidR="006E1B49" w:rsidRDefault="00AA336A" w:rsidP="00240B29">
            <w:pPr>
              <w:jc w:val="left"/>
              <w:rPr>
                <w:rFonts w:cs="Arial"/>
                <w:sz w:val="20"/>
              </w:rPr>
            </w:pPr>
            <w:r w:rsidRPr="00BA74B4">
              <w:rPr>
                <w:rFonts w:cs="Arial"/>
                <w:b/>
                <w:sz w:val="20"/>
              </w:rPr>
              <w:t>Accountability</w:t>
            </w:r>
            <w:r w:rsidR="006E1B49">
              <w:rPr>
                <w:rFonts w:cs="Arial"/>
                <w:sz w:val="20"/>
              </w:rPr>
              <w:t xml:space="preserve"> – </w:t>
            </w:r>
            <w:r w:rsidR="002806B4">
              <w:rPr>
                <w:rFonts w:cs="Arial"/>
                <w:sz w:val="20"/>
              </w:rPr>
              <w:t>Accountability is core to a human rights based approach, since public authorities have legal duties towards respecting, protecting and fulfilling human rights. Public authorities must acknowledge their responsibility towards thes</w:t>
            </w:r>
            <w:r w:rsidR="00642335">
              <w:rPr>
                <w:rFonts w:cs="Arial"/>
                <w:sz w:val="20"/>
              </w:rPr>
              <w:t xml:space="preserve">e rights, be accountable when things go wrong and there must be appropriate and proportionate remedies which must be enforced. The work of regulatory bodies in monitoring and holding public authorities to account is critical. The Regulator has a vital role in ensuring accountability according to domestic law and policy. The Commission advocates that the Regulator should broaden the scope of its regulatory work to incorporate and include international human rights law standards, </w:t>
            </w:r>
            <w:r w:rsidR="00642335" w:rsidRPr="00B15CEF">
              <w:rPr>
                <w:rFonts w:cs="Arial"/>
                <w:sz w:val="20"/>
              </w:rPr>
              <w:t>as well as reviewing whether its processes</w:t>
            </w:r>
            <w:r w:rsidR="00642335">
              <w:rPr>
                <w:rFonts w:cs="Arial"/>
                <w:sz w:val="20"/>
              </w:rPr>
              <w:t xml:space="preserve"> </w:t>
            </w:r>
            <w:r w:rsidR="00B15CEF">
              <w:rPr>
                <w:rFonts w:cs="Arial"/>
                <w:sz w:val="20"/>
              </w:rPr>
              <w:t>conform to the principles of rights based approaches.</w:t>
            </w:r>
          </w:p>
          <w:p w14:paraId="5AA655D6" w14:textId="77777777" w:rsidR="00642335" w:rsidRDefault="00642335" w:rsidP="00240B29">
            <w:pPr>
              <w:jc w:val="left"/>
              <w:rPr>
                <w:rFonts w:cs="Arial"/>
                <w:sz w:val="20"/>
              </w:rPr>
            </w:pPr>
          </w:p>
          <w:p w14:paraId="3A37E276" w14:textId="2D39D820" w:rsidR="00AA336A" w:rsidRDefault="00AA336A" w:rsidP="00240B29">
            <w:pPr>
              <w:jc w:val="left"/>
              <w:rPr>
                <w:rFonts w:cs="Arial"/>
                <w:sz w:val="20"/>
              </w:rPr>
            </w:pPr>
            <w:r w:rsidRPr="00BA74B4">
              <w:rPr>
                <w:rFonts w:cs="Arial"/>
                <w:b/>
                <w:sz w:val="20"/>
              </w:rPr>
              <w:t>Non-discrimination</w:t>
            </w:r>
            <w:r w:rsidR="006E1B49">
              <w:rPr>
                <w:rFonts w:cs="Arial"/>
                <w:sz w:val="20"/>
              </w:rPr>
              <w:t xml:space="preserve"> – No-one should experience direct or indirect discrimination in their access to housing or their enjoyment of the right to housing. Furthermore, this element of rights based approaches requires landlords, local authorities (whether in their role as landlord or in the provision of housing related services) and the regulator itself to examine critically which groups of people are furthest away from realising their right to housing, </w:t>
            </w:r>
            <w:r w:rsidR="00E14FAF">
              <w:rPr>
                <w:rFonts w:cs="Arial"/>
                <w:sz w:val="20"/>
              </w:rPr>
              <w:t xml:space="preserve">for example </w:t>
            </w:r>
            <w:r w:rsidR="006E1B49">
              <w:rPr>
                <w:rFonts w:cs="Arial"/>
                <w:sz w:val="20"/>
              </w:rPr>
              <w:t>through depriva</w:t>
            </w:r>
            <w:r w:rsidR="00DE3DB9">
              <w:rPr>
                <w:rFonts w:cs="Arial"/>
                <w:sz w:val="20"/>
              </w:rPr>
              <w:t>tion, because of discrimination</w:t>
            </w:r>
            <w:r w:rsidR="006D53C3">
              <w:rPr>
                <w:rFonts w:cs="Arial"/>
                <w:sz w:val="20"/>
              </w:rPr>
              <w:t xml:space="preserve"> or because of homelessness</w:t>
            </w:r>
            <w:r w:rsidR="00DE3DB9">
              <w:rPr>
                <w:rFonts w:cs="Arial"/>
                <w:sz w:val="20"/>
              </w:rPr>
              <w:t>.</w:t>
            </w:r>
            <w:r w:rsidR="00E6636E">
              <w:rPr>
                <w:rFonts w:cs="Arial"/>
                <w:sz w:val="20"/>
              </w:rPr>
              <w:t xml:space="preserve"> It is also important to acknowledge that </w:t>
            </w:r>
            <w:r w:rsidR="00273CF0">
              <w:rPr>
                <w:rFonts w:cs="Arial"/>
                <w:sz w:val="20"/>
              </w:rPr>
              <w:t>the equality and human rights framewor</w:t>
            </w:r>
            <w:r w:rsidR="006D53C3">
              <w:rPr>
                <w:rFonts w:cs="Arial"/>
                <w:sz w:val="20"/>
              </w:rPr>
              <w:t>k, while complementary, can</w:t>
            </w:r>
            <w:r w:rsidR="00273CF0">
              <w:rPr>
                <w:rFonts w:cs="Arial"/>
                <w:sz w:val="20"/>
              </w:rPr>
              <w:t xml:space="preserve"> be distinct. For example, </w:t>
            </w:r>
            <w:r w:rsidR="00E6636E">
              <w:rPr>
                <w:rFonts w:cs="Arial"/>
                <w:sz w:val="20"/>
              </w:rPr>
              <w:t>while many breaches of human rights law are inextricably intertwined with discrimination, it is possible for breaches of human rights to take place without a discrimination element</w:t>
            </w:r>
            <w:r w:rsidR="002F627A">
              <w:rPr>
                <w:rFonts w:cs="Arial"/>
                <w:sz w:val="20"/>
              </w:rPr>
              <w:t>.</w:t>
            </w:r>
          </w:p>
          <w:p w14:paraId="0CF79C0B" w14:textId="77777777" w:rsidR="006E1B49" w:rsidRDefault="006E1B49" w:rsidP="00240B29">
            <w:pPr>
              <w:jc w:val="left"/>
              <w:rPr>
                <w:rFonts w:cs="Arial"/>
                <w:sz w:val="20"/>
              </w:rPr>
            </w:pPr>
          </w:p>
          <w:p w14:paraId="1229F6F0" w14:textId="40F85363" w:rsidR="00AA336A" w:rsidRDefault="00AA336A" w:rsidP="00240B29">
            <w:pPr>
              <w:jc w:val="left"/>
              <w:rPr>
                <w:rFonts w:cs="Arial"/>
                <w:sz w:val="20"/>
              </w:rPr>
            </w:pPr>
            <w:r w:rsidRPr="00BA74B4">
              <w:rPr>
                <w:rFonts w:cs="Arial"/>
                <w:b/>
                <w:sz w:val="20"/>
              </w:rPr>
              <w:t>Empowerment</w:t>
            </w:r>
            <w:r w:rsidR="006E1B49">
              <w:rPr>
                <w:rFonts w:cs="Arial"/>
                <w:sz w:val="20"/>
              </w:rPr>
              <w:t xml:space="preserve"> – In this context, this means that tenants should know and understand the standards which are expected of landlords both in domestic law and in international human rights law. Tenan</w:t>
            </w:r>
            <w:r w:rsidR="00642335">
              <w:rPr>
                <w:rFonts w:cs="Arial"/>
                <w:sz w:val="20"/>
              </w:rPr>
              <w:t>ts should have clear and accessible information about these standards and should know what to do in the event that something goes wrong.</w:t>
            </w:r>
            <w:r w:rsidR="00B15CEF">
              <w:rPr>
                <w:rFonts w:cs="Arial"/>
                <w:sz w:val="20"/>
              </w:rPr>
              <w:t xml:space="preserve"> In some of our work on housing, it has been the Commission’s experience that tenants are not well-informed about the role of the Regulator or opportunities to draw systemic issues and problems to the attention of the Regulator.</w:t>
            </w:r>
          </w:p>
          <w:p w14:paraId="6EF31DB7" w14:textId="77777777" w:rsidR="006E1B49" w:rsidRDefault="006E1B49" w:rsidP="00240B29">
            <w:pPr>
              <w:jc w:val="left"/>
              <w:rPr>
                <w:rFonts w:cs="Arial"/>
                <w:sz w:val="20"/>
              </w:rPr>
            </w:pPr>
          </w:p>
          <w:p w14:paraId="7FC7EF16" w14:textId="00BA8DD4" w:rsidR="00741EE4" w:rsidRDefault="00AA336A" w:rsidP="00240B29">
            <w:pPr>
              <w:jc w:val="left"/>
              <w:rPr>
                <w:rFonts w:cs="Arial"/>
                <w:sz w:val="20"/>
              </w:rPr>
            </w:pPr>
            <w:r w:rsidRPr="00BA74B4">
              <w:rPr>
                <w:rFonts w:cs="Arial"/>
                <w:b/>
                <w:sz w:val="20"/>
              </w:rPr>
              <w:t>Law</w:t>
            </w:r>
            <w:r w:rsidR="006E1B49">
              <w:rPr>
                <w:rFonts w:cs="Arial"/>
                <w:sz w:val="20"/>
              </w:rPr>
              <w:t xml:space="preserve"> </w:t>
            </w:r>
            <w:r w:rsidR="00E14FAF">
              <w:rPr>
                <w:rFonts w:cs="Arial"/>
                <w:sz w:val="20"/>
              </w:rPr>
              <w:t>–</w:t>
            </w:r>
            <w:r w:rsidR="006E1B49">
              <w:rPr>
                <w:rFonts w:cs="Arial"/>
                <w:sz w:val="20"/>
              </w:rPr>
              <w:t xml:space="preserve"> </w:t>
            </w:r>
            <w:r w:rsidR="00E14FAF">
              <w:rPr>
                <w:rFonts w:cs="Arial"/>
                <w:sz w:val="20"/>
              </w:rPr>
              <w:t>This element of a human rights based approach recognises that</w:t>
            </w:r>
            <w:r w:rsidR="00BA74B4">
              <w:rPr>
                <w:rFonts w:cs="Arial"/>
                <w:sz w:val="20"/>
              </w:rPr>
              <w:t xml:space="preserve"> </w:t>
            </w:r>
            <w:r w:rsidR="002806B4">
              <w:rPr>
                <w:rFonts w:cs="Arial"/>
                <w:sz w:val="20"/>
              </w:rPr>
              <w:t>there are a set of standards in relation to housing enshrined in international human rights law</w:t>
            </w:r>
            <w:r w:rsidR="00BA74B4">
              <w:rPr>
                <w:rFonts w:cs="Arial"/>
                <w:sz w:val="20"/>
              </w:rPr>
              <w:t xml:space="preserve"> and that </w:t>
            </w:r>
            <w:r w:rsidR="00E14FAF">
              <w:rPr>
                <w:rFonts w:cs="Arial"/>
                <w:sz w:val="20"/>
              </w:rPr>
              <w:t xml:space="preserve">public authorities in Scotland are bound by </w:t>
            </w:r>
            <w:r w:rsidR="002806B4">
              <w:rPr>
                <w:rFonts w:cs="Arial"/>
                <w:sz w:val="20"/>
              </w:rPr>
              <w:t xml:space="preserve">the </w:t>
            </w:r>
            <w:r w:rsidR="00E14FAF">
              <w:rPr>
                <w:rFonts w:cs="Arial"/>
                <w:sz w:val="20"/>
              </w:rPr>
              <w:t>obligations under internati</w:t>
            </w:r>
            <w:r w:rsidR="002806B4">
              <w:rPr>
                <w:rFonts w:cs="Arial"/>
                <w:sz w:val="20"/>
              </w:rPr>
              <w:t>onal human rights law</w:t>
            </w:r>
            <w:r w:rsidR="00BA74B4">
              <w:rPr>
                <w:rFonts w:cs="Arial"/>
                <w:sz w:val="20"/>
              </w:rPr>
              <w:t>. T</w:t>
            </w:r>
            <w:r w:rsidR="00E14FAF">
              <w:rPr>
                <w:rFonts w:cs="Arial"/>
                <w:sz w:val="20"/>
              </w:rPr>
              <w:t>he</w:t>
            </w:r>
            <w:r w:rsidR="002806B4">
              <w:rPr>
                <w:rFonts w:cs="Arial"/>
                <w:sz w:val="20"/>
              </w:rPr>
              <w:t xml:space="preserve"> realisation of the</w:t>
            </w:r>
            <w:r w:rsidR="00E14FAF">
              <w:rPr>
                <w:rFonts w:cs="Arial"/>
                <w:sz w:val="20"/>
              </w:rPr>
              <w:t xml:space="preserve"> standards set out in </w:t>
            </w:r>
            <w:r w:rsidR="002806B4">
              <w:rPr>
                <w:rFonts w:cs="Arial"/>
                <w:sz w:val="20"/>
              </w:rPr>
              <w:t>international human rights law should be the aim of all public authorities, including in their capacity as landlords</w:t>
            </w:r>
            <w:r w:rsidR="00642335">
              <w:rPr>
                <w:rFonts w:cs="Arial"/>
                <w:sz w:val="20"/>
              </w:rPr>
              <w:t>, and in their role of providing public services</w:t>
            </w:r>
            <w:r w:rsidR="00BA74B4">
              <w:rPr>
                <w:rFonts w:cs="Arial"/>
                <w:sz w:val="20"/>
              </w:rPr>
              <w:t>,</w:t>
            </w:r>
            <w:r w:rsidR="00642335">
              <w:rPr>
                <w:rFonts w:cs="Arial"/>
                <w:sz w:val="20"/>
              </w:rPr>
              <w:t xml:space="preserve"> for example support to homeless people</w:t>
            </w:r>
            <w:r w:rsidR="00BA74B4">
              <w:rPr>
                <w:rFonts w:cs="Arial"/>
                <w:sz w:val="20"/>
              </w:rPr>
              <w:t>. T</w:t>
            </w:r>
            <w:r w:rsidR="002806B4">
              <w:rPr>
                <w:rFonts w:cs="Arial"/>
                <w:sz w:val="20"/>
              </w:rPr>
              <w:t>hese standards have a critical role to play in informing the work of regulatory bodies.</w:t>
            </w:r>
            <w:r w:rsidR="00852C8F">
              <w:rPr>
                <w:rFonts w:cs="Arial"/>
                <w:sz w:val="20"/>
              </w:rPr>
              <w:t xml:space="preserve"> The</w:t>
            </w:r>
            <w:r w:rsidR="00741EE4">
              <w:rPr>
                <w:rFonts w:cs="Arial"/>
                <w:sz w:val="20"/>
              </w:rPr>
              <w:t xml:space="preserve"> Commission would advocate that:</w:t>
            </w:r>
          </w:p>
          <w:p w14:paraId="0FDFB371" w14:textId="77777777" w:rsidR="008A662B" w:rsidRDefault="008A662B" w:rsidP="00240B29">
            <w:pPr>
              <w:jc w:val="left"/>
              <w:rPr>
                <w:rFonts w:cs="Arial"/>
                <w:sz w:val="20"/>
              </w:rPr>
            </w:pPr>
          </w:p>
          <w:p w14:paraId="342C17B4" w14:textId="74CAE1CF" w:rsidR="00741EE4" w:rsidRDefault="00852C8F" w:rsidP="00741EE4">
            <w:pPr>
              <w:pStyle w:val="ListParagraph"/>
              <w:numPr>
                <w:ilvl w:val="0"/>
                <w:numId w:val="12"/>
              </w:numPr>
              <w:jc w:val="left"/>
              <w:rPr>
                <w:rFonts w:cs="Arial"/>
                <w:sz w:val="20"/>
              </w:rPr>
            </w:pPr>
            <w:r w:rsidRPr="00741EE4">
              <w:rPr>
                <w:rFonts w:cs="Arial"/>
                <w:sz w:val="20"/>
              </w:rPr>
              <w:t>these standards should be included within the Regulator’s</w:t>
            </w:r>
            <w:r w:rsidR="00741EE4">
              <w:rPr>
                <w:rFonts w:cs="Arial"/>
                <w:sz w:val="20"/>
              </w:rPr>
              <w:t xml:space="preserve"> assessment framework</w:t>
            </w:r>
            <w:r w:rsidR="008A662B">
              <w:rPr>
                <w:rFonts w:cs="Arial"/>
                <w:sz w:val="20"/>
              </w:rPr>
              <w:t>;</w:t>
            </w:r>
          </w:p>
          <w:p w14:paraId="1A961FD9" w14:textId="7A2CBFC5" w:rsidR="00741EE4" w:rsidRDefault="00852C8F" w:rsidP="00741EE4">
            <w:pPr>
              <w:pStyle w:val="ListParagraph"/>
              <w:numPr>
                <w:ilvl w:val="0"/>
                <w:numId w:val="12"/>
              </w:numPr>
              <w:jc w:val="left"/>
              <w:rPr>
                <w:rFonts w:cs="Arial"/>
                <w:sz w:val="20"/>
              </w:rPr>
            </w:pPr>
            <w:r w:rsidRPr="00741EE4">
              <w:rPr>
                <w:rFonts w:cs="Arial"/>
                <w:sz w:val="20"/>
              </w:rPr>
              <w:t>the Regulato</w:t>
            </w:r>
            <w:r w:rsidR="00741EE4">
              <w:rPr>
                <w:rFonts w:cs="Arial"/>
                <w:sz w:val="20"/>
              </w:rPr>
              <w:t>r should set the expectation that</w:t>
            </w:r>
            <w:r w:rsidRPr="00741EE4">
              <w:rPr>
                <w:rFonts w:cs="Arial"/>
                <w:sz w:val="20"/>
              </w:rPr>
              <w:t xml:space="preserve"> landlo</w:t>
            </w:r>
            <w:r w:rsidR="00741EE4">
              <w:rPr>
                <w:rFonts w:cs="Arial"/>
                <w:sz w:val="20"/>
              </w:rPr>
              <w:t>rds should meet these standards</w:t>
            </w:r>
            <w:r w:rsidR="008A662B">
              <w:rPr>
                <w:rFonts w:cs="Arial"/>
                <w:sz w:val="20"/>
              </w:rPr>
              <w:t xml:space="preserve"> or should demonstrate how they will work to achieve this;</w:t>
            </w:r>
          </w:p>
          <w:p w14:paraId="0C5077F1" w14:textId="77777777" w:rsidR="00741EE4" w:rsidRDefault="00741EE4" w:rsidP="00741EE4">
            <w:pPr>
              <w:pStyle w:val="ListParagraph"/>
              <w:numPr>
                <w:ilvl w:val="0"/>
                <w:numId w:val="12"/>
              </w:numPr>
              <w:jc w:val="left"/>
              <w:rPr>
                <w:rFonts w:cs="Arial"/>
                <w:sz w:val="20"/>
              </w:rPr>
            </w:pPr>
            <w:r>
              <w:rPr>
                <w:rFonts w:cs="Arial"/>
                <w:sz w:val="20"/>
              </w:rPr>
              <w:t>these standards should be incorporated into the mainstream standards of assessment, rather than being elements of the Equality and Human Rights requirements.</w:t>
            </w:r>
          </w:p>
          <w:p w14:paraId="0615FD32" w14:textId="58C20516" w:rsidR="00741EE4" w:rsidRDefault="00852C8F" w:rsidP="00741EE4">
            <w:pPr>
              <w:jc w:val="left"/>
              <w:rPr>
                <w:rFonts w:cs="Arial"/>
                <w:sz w:val="20"/>
              </w:rPr>
            </w:pPr>
            <w:r w:rsidRPr="00741EE4">
              <w:rPr>
                <w:rFonts w:cs="Arial"/>
                <w:sz w:val="20"/>
              </w:rPr>
              <w:t xml:space="preserve"> </w:t>
            </w:r>
          </w:p>
          <w:p w14:paraId="2649F9D5" w14:textId="309AAF94" w:rsidR="008A662B" w:rsidRDefault="008A662B" w:rsidP="00741EE4">
            <w:pPr>
              <w:jc w:val="left"/>
              <w:rPr>
                <w:rFonts w:cs="Arial"/>
                <w:sz w:val="20"/>
              </w:rPr>
            </w:pPr>
            <w:r>
              <w:rPr>
                <w:rFonts w:cs="Arial"/>
                <w:sz w:val="20"/>
              </w:rPr>
              <w:t>We set out the international obligations in connection to the right to housing below.</w:t>
            </w:r>
          </w:p>
          <w:p w14:paraId="4205B393" w14:textId="77777777" w:rsidR="008A662B" w:rsidRDefault="008A662B" w:rsidP="00741EE4">
            <w:pPr>
              <w:jc w:val="left"/>
              <w:rPr>
                <w:rFonts w:cs="Arial"/>
                <w:sz w:val="20"/>
              </w:rPr>
            </w:pPr>
          </w:p>
          <w:p w14:paraId="03AAFF29" w14:textId="37B64755" w:rsidR="00864B79" w:rsidRPr="00864B79" w:rsidRDefault="00864B79" w:rsidP="00864B79">
            <w:pPr>
              <w:jc w:val="left"/>
              <w:rPr>
                <w:rFonts w:cs="Arial"/>
                <w:sz w:val="20"/>
              </w:rPr>
            </w:pPr>
            <w:r w:rsidRPr="00864B79">
              <w:rPr>
                <w:rFonts w:cs="Arial"/>
                <w:sz w:val="20"/>
              </w:rPr>
              <w:t>While the Human Rights Act 1998</w:t>
            </w:r>
            <w:r w:rsidR="008A662B">
              <w:rPr>
                <w:rFonts w:cs="Arial"/>
                <w:sz w:val="20"/>
              </w:rPr>
              <w:t xml:space="preserve"> (the Act)</w:t>
            </w:r>
            <w:r w:rsidRPr="00864B79">
              <w:rPr>
                <w:rFonts w:cs="Arial"/>
                <w:sz w:val="20"/>
              </w:rPr>
              <w:t xml:space="preserve"> provides a robust set of standards for the protection of civil and political rights, it does not contain any direct, formal protection of the right to housing. </w:t>
            </w:r>
            <w:r w:rsidR="008A662B">
              <w:rPr>
                <w:rFonts w:cs="Arial"/>
                <w:sz w:val="20"/>
              </w:rPr>
              <w:t>While it is evident that landlords could act</w:t>
            </w:r>
            <w:r w:rsidR="007D2567">
              <w:rPr>
                <w:rFonts w:cs="Arial"/>
                <w:sz w:val="20"/>
              </w:rPr>
              <w:t>,</w:t>
            </w:r>
            <w:r w:rsidR="008A662B">
              <w:rPr>
                <w:rFonts w:cs="Arial"/>
                <w:sz w:val="20"/>
              </w:rPr>
              <w:t xml:space="preserve"> or omit to act</w:t>
            </w:r>
            <w:r w:rsidR="007D2567">
              <w:rPr>
                <w:rFonts w:cs="Arial"/>
                <w:sz w:val="20"/>
              </w:rPr>
              <w:t>,</w:t>
            </w:r>
            <w:r w:rsidR="008A662B">
              <w:rPr>
                <w:rFonts w:cs="Arial"/>
                <w:sz w:val="20"/>
              </w:rPr>
              <w:t xml:space="preserve"> in some ways which could constitute a breach of the civil and political rights set out within the Act, </w:t>
            </w:r>
            <w:r w:rsidR="008A662B" w:rsidRPr="008A662B">
              <w:rPr>
                <w:rFonts w:cs="Arial"/>
                <w:b/>
                <w:sz w:val="20"/>
              </w:rPr>
              <w:t xml:space="preserve">in </w:t>
            </w:r>
            <w:r w:rsidRPr="008A662B">
              <w:rPr>
                <w:rFonts w:cs="Arial"/>
                <w:b/>
                <w:sz w:val="20"/>
              </w:rPr>
              <w:t>the context of</w:t>
            </w:r>
            <w:r w:rsidR="008A662B" w:rsidRPr="008A662B">
              <w:rPr>
                <w:rFonts w:cs="Arial"/>
                <w:b/>
                <w:sz w:val="20"/>
              </w:rPr>
              <w:t xml:space="preserve"> the right to</w:t>
            </w:r>
            <w:r w:rsidRPr="008A662B">
              <w:rPr>
                <w:rFonts w:cs="Arial"/>
                <w:b/>
                <w:sz w:val="20"/>
              </w:rPr>
              <w:t xml:space="preserve"> housing</w:t>
            </w:r>
            <w:r w:rsidR="008A662B">
              <w:rPr>
                <w:rFonts w:cs="Arial"/>
                <w:b/>
                <w:sz w:val="20"/>
              </w:rPr>
              <w:t xml:space="preserve">, </w:t>
            </w:r>
            <w:r w:rsidR="008A662B">
              <w:rPr>
                <w:rFonts w:cs="Arial"/>
                <w:sz w:val="20"/>
              </w:rPr>
              <w:t>the Act is not the</w:t>
            </w:r>
            <w:r w:rsidRPr="00864B79">
              <w:rPr>
                <w:rFonts w:cs="Arial"/>
                <w:sz w:val="20"/>
              </w:rPr>
              <w:t xml:space="preserve"> most appropriate yardstick against which to measure landlords’ compliance with the human rights framework. A much more vivid and detailed articulation of the right to housing can be found </w:t>
            </w:r>
            <w:r w:rsidR="007D2567">
              <w:rPr>
                <w:rFonts w:cs="Arial"/>
                <w:sz w:val="20"/>
              </w:rPr>
              <w:t xml:space="preserve">within </w:t>
            </w:r>
            <w:hyperlink r:id="rId13" w:history="1">
              <w:r w:rsidR="007D2567" w:rsidRPr="00F35D44">
                <w:rPr>
                  <w:rStyle w:val="Hyperlink"/>
                  <w:rFonts w:cs="Arial"/>
                  <w:sz w:val="20"/>
                </w:rPr>
                <w:t>General Comment No 4 of the Committee on Economic, Social and Cultural Rights</w:t>
              </w:r>
            </w:hyperlink>
            <w:r w:rsidR="007D2567">
              <w:rPr>
                <w:rFonts w:cs="Arial"/>
                <w:sz w:val="20"/>
              </w:rPr>
              <w:t xml:space="preserve">, which articulates the right to housing (Article 11) </w:t>
            </w:r>
            <w:r w:rsidRPr="00864B79">
              <w:rPr>
                <w:rFonts w:cs="Arial"/>
                <w:sz w:val="20"/>
              </w:rPr>
              <w:t xml:space="preserve">under the </w:t>
            </w:r>
            <w:hyperlink r:id="rId14" w:history="1">
              <w:r w:rsidRPr="00F35D44">
                <w:rPr>
                  <w:rStyle w:val="Hyperlink"/>
                  <w:rFonts w:cs="Arial"/>
                  <w:sz w:val="20"/>
                </w:rPr>
                <w:t>International Covenant on Economic, Social and Cultural Rights</w:t>
              </w:r>
            </w:hyperlink>
            <w:r w:rsidR="00E81A4C">
              <w:rPr>
                <w:rFonts w:cs="Arial"/>
                <w:sz w:val="20"/>
              </w:rPr>
              <w:t xml:space="preserve"> (ICESCR),</w:t>
            </w:r>
            <w:r w:rsidRPr="00864B79">
              <w:rPr>
                <w:rFonts w:cs="Arial"/>
                <w:sz w:val="20"/>
              </w:rPr>
              <w:t xml:space="preserve"> which the UK signed and ratified in 1976</w:t>
            </w:r>
            <w:r w:rsidR="008A662B">
              <w:rPr>
                <w:rFonts w:cs="Arial"/>
                <w:sz w:val="20"/>
              </w:rPr>
              <w:t>.</w:t>
            </w:r>
            <w:r w:rsidR="007D2567">
              <w:rPr>
                <w:rFonts w:cs="Arial"/>
                <w:sz w:val="20"/>
              </w:rPr>
              <w:t xml:space="preserve"> This General Comment sets out seven standards which define </w:t>
            </w:r>
            <w:r w:rsidR="007D2567" w:rsidRPr="007D2567">
              <w:rPr>
                <w:rFonts w:cs="Arial"/>
                <w:b/>
                <w:sz w:val="20"/>
              </w:rPr>
              <w:t>adequate</w:t>
            </w:r>
            <w:r w:rsidR="007D2567">
              <w:rPr>
                <w:rFonts w:cs="Arial"/>
                <w:sz w:val="20"/>
              </w:rPr>
              <w:t xml:space="preserve"> housing, all of which are relevant to the provision of social housing in Scotland and to the assessment framework used by the Regulator. </w:t>
            </w:r>
            <w:r w:rsidR="00F10726">
              <w:rPr>
                <w:rFonts w:cs="Arial"/>
                <w:sz w:val="20"/>
              </w:rPr>
              <w:t>In summary, t</w:t>
            </w:r>
            <w:r w:rsidR="007D2567">
              <w:rPr>
                <w:rFonts w:cs="Arial"/>
                <w:sz w:val="20"/>
              </w:rPr>
              <w:t>hese are:</w:t>
            </w:r>
          </w:p>
          <w:p w14:paraId="12B8F4F3" w14:textId="6B33193D" w:rsidR="00864B79" w:rsidRDefault="00864B79" w:rsidP="00741EE4">
            <w:pPr>
              <w:jc w:val="left"/>
              <w:rPr>
                <w:rFonts w:cs="Arial"/>
                <w:sz w:val="20"/>
              </w:rPr>
            </w:pPr>
          </w:p>
          <w:p w14:paraId="1A5BB0EB" w14:textId="1896FDF0" w:rsidR="00864B79" w:rsidRDefault="007D2567" w:rsidP="00864B79">
            <w:pPr>
              <w:rPr>
                <w:rFonts w:cs="Arial"/>
                <w:sz w:val="20"/>
              </w:rPr>
            </w:pPr>
            <w:r>
              <w:rPr>
                <w:rFonts w:cs="Arial"/>
                <w:sz w:val="20"/>
              </w:rPr>
              <w:t xml:space="preserve">1. </w:t>
            </w:r>
            <w:r w:rsidR="00F10726" w:rsidRPr="00F10726">
              <w:rPr>
                <w:rFonts w:cs="Arial"/>
                <w:b/>
                <w:sz w:val="20"/>
              </w:rPr>
              <w:t>Legal s</w:t>
            </w:r>
            <w:r w:rsidR="00864B79" w:rsidRPr="00F10726">
              <w:rPr>
                <w:rFonts w:cs="Arial"/>
                <w:b/>
                <w:sz w:val="20"/>
              </w:rPr>
              <w:t>ecurity of tenure</w:t>
            </w:r>
            <w:r w:rsidR="00F10726">
              <w:rPr>
                <w:rFonts w:cs="Arial"/>
                <w:sz w:val="20"/>
              </w:rPr>
              <w:t xml:space="preserve"> - </w:t>
            </w:r>
            <w:r w:rsidR="00F10726" w:rsidRPr="00F10726">
              <w:rPr>
                <w:rFonts w:cs="Arial"/>
                <w:sz w:val="20"/>
              </w:rPr>
              <w:t xml:space="preserve"> </w:t>
            </w:r>
            <w:r w:rsidR="00F10726">
              <w:rPr>
                <w:rFonts w:cs="Arial"/>
                <w:sz w:val="20"/>
              </w:rPr>
              <w:t>“A</w:t>
            </w:r>
            <w:r w:rsidR="00F10726" w:rsidRPr="00F10726">
              <w:rPr>
                <w:rFonts w:cs="Arial"/>
                <w:sz w:val="20"/>
              </w:rPr>
              <w:t>ll persons should possess a degree of security of tenure which guarantees legal protection against forced eviction, harassment and other threats.</w:t>
            </w:r>
            <w:r w:rsidR="00F10726">
              <w:rPr>
                <w:rFonts w:cs="Arial"/>
                <w:sz w:val="20"/>
              </w:rPr>
              <w:t>”</w:t>
            </w:r>
          </w:p>
          <w:p w14:paraId="5DBA35EE" w14:textId="77777777" w:rsidR="00F10726" w:rsidRDefault="00F10726" w:rsidP="00864B79">
            <w:pPr>
              <w:rPr>
                <w:rFonts w:cs="Arial"/>
                <w:sz w:val="20"/>
              </w:rPr>
            </w:pPr>
          </w:p>
          <w:p w14:paraId="4A9EE842" w14:textId="552FE7CD" w:rsidR="00864B79" w:rsidRDefault="007D2567" w:rsidP="00864B79">
            <w:pPr>
              <w:rPr>
                <w:rFonts w:cs="Arial"/>
                <w:sz w:val="20"/>
              </w:rPr>
            </w:pPr>
            <w:r>
              <w:rPr>
                <w:rFonts w:cs="Arial"/>
                <w:sz w:val="20"/>
              </w:rPr>
              <w:t xml:space="preserve">2. </w:t>
            </w:r>
            <w:r w:rsidR="00864B79" w:rsidRPr="00F10726">
              <w:rPr>
                <w:rFonts w:cs="Arial"/>
                <w:b/>
                <w:sz w:val="20"/>
              </w:rPr>
              <w:t>Availability of services, materials, facilities and infrastructure</w:t>
            </w:r>
            <w:r w:rsidR="00F10726">
              <w:rPr>
                <w:rFonts w:cs="Arial"/>
                <w:sz w:val="20"/>
              </w:rPr>
              <w:t xml:space="preserve"> – “</w:t>
            </w:r>
            <w:r w:rsidR="00F10726" w:rsidRPr="00F10726">
              <w:rPr>
                <w:rFonts w:cs="Arial"/>
                <w:sz w:val="20"/>
              </w:rPr>
              <w:t>An adequate house must contain certain facilities essential for health, security, comfort and nutrition. All beneficiaries of the right to adequate housing should have sustainable access to natural and common resources, safe drinking water, energy for cooking, heating and lighting, sanitation and washing facilities, means of food storage, refuse disposal, site drainage and emergency services</w:t>
            </w:r>
            <w:r w:rsidR="00F10726">
              <w:rPr>
                <w:rFonts w:cs="Arial"/>
                <w:sz w:val="20"/>
              </w:rPr>
              <w:t>.”</w:t>
            </w:r>
          </w:p>
          <w:p w14:paraId="3F1C780F" w14:textId="77777777" w:rsidR="00F10726" w:rsidRDefault="00F10726" w:rsidP="00864B79">
            <w:pPr>
              <w:rPr>
                <w:rFonts w:cs="Arial"/>
                <w:sz w:val="20"/>
              </w:rPr>
            </w:pPr>
          </w:p>
          <w:p w14:paraId="31C60FDD" w14:textId="03D41672" w:rsidR="00F10726" w:rsidRDefault="007D2567" w:rsidP="00864B79">
            <w:pPr>
              <w:rPr>
                <w:rFonts w:cs="Arial"/>
                <w:sz w:val="20"/>
              </w:rPr>
            </w:pPr>
            <w:r>
              <w:rPr>
                <w:rFonts w:cs="Arial"/>
                <w:sz w:val="20"/>
              </w:rPr>
              <w:t>3.</w:t>
            </w:r>
            <w:r w:rsidRPr="00F10726">
              <w:rPr>
                <w:rFonts w:cs="Arial"/>
                <w:b/>
                <w:sz w:val="20"/>
              </w:rPr>
              <w:t xml:space="preserve"> </w:t>
            </w:r>
            <w:r w:rsidR="00F10726">
              <w:rPr>
                <w:rFonts w:cs="Arial"/>
                <w:b/>
                <w:sz w:val="20"/>
              </w:rPr>
              <w:t>Affordability</w:t>
            </w:r>
            <w:r w:rsidR="00F10726">
              <w:rPr>
                <w:rFonts w:cs="Arial"/>
                <w:sz w:val="20"/>
              </w:rPr>
              <w:t xml:space="preserve"> – “</w:t>
            </w:r>
            <w:r w:rsidR="00F10726" w:rsidRPr="00F10726">
              <w:rPr>
                <w:rFonts w:cs="Arial"/>
                <w:sz w:val="20"/>
              </w:rPr>
              <w:t>Personal or household financial costs associated with housing should be at such a level that the attainment and satisfaction of other basic needs are not threatened or comp</w:t>
            </w:r>
            <w:r w:rsidR="00F10726">
              <w:rPr>
                <w:rFonts w:cs="Arial"/>
                <w:sz w:val="20"/>
              </w:rPr>
              <w:t>romised….</w:t>
            </w:r>
            <w:r w:rsidR="00F10726">
              <w:t xml:space="preserve"> </w:t>
            </w:r>
            <w:r w:rsidR="00F10726" w:rsidRPr="00F10726">
              <w:rPr>
                <w:rFonts w:cs="Arial"/>
                <w:sz w:val="20"/>
              </w:rPr>
              <w:t>In accordance with the principle of affordability, tenants should be protected by appropriate means against unreasonable rent levels or rent increases.</w:t>
            </w:r>
            <w:r w:rsidR="00F10726">
              <w:rPr>
                <w:rFonts w:cs="Arial"/>
                <w:sz w:val="20"/>
              </w:rPr>
              <w:t>”</w:t>
            </w:r>
          </w:p>
          <w:p w14:paraId="4D41115B" w14:textId="130E9711" w:rsidR="00864B79" w:rsidRDefault="00F10726" w:rsidP="00864B79">
            <w:pPr>
              <w:rPr>
                <w:rFonts w:cs="Arial"/>
                <w:sz w:val="20"/>
              </w:rPr>
            </w:pPr>
            <w:r>
              <w:rPr>
                <w:rFonts w:cs="Arial"/>
                <w:sz w:val="20"/>
              </w:rPr>
              <w:t xml:space="preserve"> </w:t>
            </w:r>
          </w:p>
          <w:p w14:paraId="5443A0AE" w14:textId="799913E6" w:rsidR="00864B79" w:rsidRDefault="007D2567" w:rsidP="00F10726">
            <w:pPr>
              <w:spacing w:line="240" w:lineRule="auto"/>
              <w:rPr>
                <w:rFonts w:cs="Arial"/>
                <w:sz w:val="20"/>
              </w:rPr>
            </w:pPr>
            <w:r>
              <w:rPr>
                <w:rFonts w:cs="Arial"/>
                <w:sz w:val="20"/>
              </w:rPr>
              <w:t xml:space="preserve">4. </w:t>
            </w:r>
            <w:r w:rsidR="00F10726" w:rsidRPr="00F10726">
              <w:rPr>
                <w:rFonts w:cs="Arial"/>
                <w:b/>
                <w:sz w:val="20"/>
              </w:rPr>
              <w:t>Habita</w:t>
            </w:r>
            <w:r w:rsidR="00864B79" w:rsidRPr="00F10726">
              <w:rPr>
                <w:rFonts w:cs="Arial"/>
                <w:b/>
                <w:sz w:val="20"/>
              </w:rPr>
              <w:t>bility</w:t>
            </w:r>
            <w:r w:rsidR="00F10726">
              <w:rPr>
                <w:rFonts w:cs="Arial"/>
                <w:sz w:val="20"/>
              </w:rPr>
              <w:t xml:space="preserve"> – “</w:t>
            </w:r>
            <w:r w:rsidR="00F10726" w:rsidRPr="00F10726">
              <w:rPr>
                <w:rFonts w:cs="Arial"/>
                <w:sz w:val="20"/>
              </w:rPr>
              <w:t>Adequate housing must be habitable, in terms of providing the inhabitants with adequate space and protecting them from cold, damp, heat, rain, wind or other threats to health, structural hazards, and disease vectors. The physical safety of occupants must be guaranteed as well</w:t>
            </w:r>
            <w:r w:rsidR="00C95201">
              <w:rPr>
                <w:rFonts w:cs="Arial"/>
                <w:sz w:val="20"/>
              </w:rPr>
              <w:t>…I</w:t>
            </w:r>
            <w:r w:rsidR="00C95201" w:rsidRPr="00C95201">
              <w:rPr>
                <w:rFonts w:cs="Arial"/>
                <w:sz w:val="20"/>
              </w:rPr>
              <w:t>nadequate and deficient housing and living conditions are invariably associated with higher mortality and morbidity rates</w:t>
            </w:r>
            <w:r w:rsidR="00F10726">
              <w:rPr>
                <w:rFonts w:cs="Arial"/>
                <w:sz w:val="20"/>
              </w:rPr>
              <w:t>”</w:t>
            </w:r>
          </w:p>
          <w:p w14:paraId="70A90235" w14:textId="77777777" w:rsidR="00F10726" w:rsidRPr="00F10726" w:rsidRDefault="00F10726" w:rsidP="00F10726">
            <w:pPr>
              <w:spacing w:line="240" w:lineRule="auto"/>
              <w:rPr>
                <w:rFonts w:cs="Arial"/>
                <w:sz w:val="20"/>
              </w:rPr>
            </w:pPr>
          </w:p>
          <w:p w14:paraId="41781E22" w14:textId="6E97C3EA" w:rsidR="00864B79" w:rsidRDefault="007D2567" w:rsidP="00864B79">
            <w:pPr>
              <w:rPr>
                <w:rFonts w:cs="Arial"/>
                <w:sz w:val="20"/>
              </w:rPr>
            </w:pPr>
            <w:r>
              <w:rPr>
                <w:rFonts w:cs="Arial"/>
                <w:sz w:val="20"/>
              </w:rPr>
              <w:t xml:space="preserve">5. </w:t>
            </w:r>
            <w:r w:rsidR="00864B79" w:rsidRPr="00F10726">
              <w:rPr>
                <w:rFonts w:cs="Arial"/>
                <w:b/>
                <w:sz w:val="20"/>
              </w:rPr>
              <w:t>Accessibility</w:t>
            </w:r>
            <w:r w:rsidR="00F10726">
              <w:rPr>
                <w:rFonts w:cs="Arial"/>
                <w:sz w:val="20"/>
              </w:rPr>
              <w:t xml:space="preserve"> </w:t>
            </w:r>
            <w:r w:rsidR="00C95201">
              <w:rPr>
                <w:rFonts w:cs="Arial"/>
                <w:sz w:val="20"/>
              </w:rPr>
              <w:t>–</w:t>
            </w:r>
            <w:r w:rsidR="00F10726">
              <w:rPr>
                <w:rFonts w:cs="Arial"/>
                <w:sz w:val="20"/>
              </w:rPr>
              <w:t xml:space="preserve"> </w:t>
            </w:r>
            <w:r w:rsidR="00C95201">
              <w:rPr>
                <w:rFonts w:cs="Arial"/>
                <w:sz w:val="20"/>
              </w:rPr>
              <w:t>“</w:t>
            </w:r>
            <w:r w:rsidR="00C95201" w:rsidRPr="00C95201">
              <w:rPr>
                <w:rFonts w:cs="Arial"/>
                <w:sz w:val="20"/>
              </w:rPr>
              <w:t>Adequate housing must be accessible to those entitled to it. Disadvantaged groups must be accorded full and sustainable access to adequate housing resources. Thus, such disadvantaged groups as the elderly, children, the physically disabled, the terminally ill, HIV positive individuals, persons with persistent medical problems, the mentally ill, victims of natural disasters, people living in disaster prone areas and other groups should be ensured some degree of priority consideration in the housing sphere. Both housing law and policy should take fully into account the special housing needs of these groups. Within many States parties increasing access to land by landless or impoverished segments of the society should constitute a central policy goal. Discernible governmental obligations need to be developed aiming to substantiate the right of all to a secure place to live in peace and dignity, including a</w:t>
            </w:r>
            <w:r w:rsidR="00C95201">
              <w:rPr>
                <w:rFonts w:cs="Arial"/>
                <w:sz w:val="20"/>
              </w:rPr>
              <w:t>ccess to land as an entitlement.”</w:t>
            </w:r>
          </w:p>
          <w:p w14:paraId="4F43DA0C" w14:textId="77777777" w:rsidR="00C95201" w:rsidRPr="00F10726" w:rsidRDefault="00C95201" w:rsidP="00864B79">
            <w:pPr>
              <w:rPr>
                <w:rFonts w:cs="Arial"/>
                <w:sz w:val="20"/>
              </w:rPr>
            </w:pPr>
          </w:p>
          <w:p w14:paraId="3828DFE9" w14:textId="408DA7C4" w:rsidR="00864B79" w:rsidRDefault="007D2567" w:rsidP="00864B79">
            <w:pPr>
              <w:rPr>
                <w:rFonts w:cs="Arial"/>
                <w:sz w:val="20"/>
              </w:rPr>
            </w:pPr>
            <w:r>
              <w:rPr>
                <w:rFonts w:cs="Arial"/>
                <w:sz w:val="20"/>
              </w:rPr>
              <w:t>6.</w:t>
            </w:r>
            <w:r w:rsidRPr="00C95201">
              <w:rPr>
                <w:rFonts w:cs="Arial"/>
                <w:b/>
                <w:sz w:val="20"/>
              </w:rPr>
              <w:t xml:space="preserve"> </w:t>
            </w:r>
            <w:r w:rsidR="00864B79" w:rsidRPr="00C95201">
              <w:rPr>
                <w:rFonts w:cs="Arial"/>
                <w:b/>
                <w:sz w:val="20"/>
              </w:rPr>
              <w:t>Location</w:t>
            </w:r>
            <w:r w:rsidR="00C95201">
              <w:rPr>
                <w:rFonts w:cs="Arial"/>
                <w:sz w:val="20"/>
              </w:rPr>
              <w:t xml:space="preserve"> – “</w:t>
            </w:r>
            <w:r w:rsidR="00C95201" w:rsidRPr="00C95201">
              <w:rPr>
                <w:rFonts w:cs="Arial"/>
                <w:sz w:val="20"/>
              </w:rPr>
              <w:t>Adequate housing must be in a location which allows access to employment options, health care services, schools, childcare centres and other social facilities. This is true both in large cities and in rural areas where the temporal and financial costs of getting to and from the place of work can place excessive demands upon the budgets of poor households. Similarly, housing should not be built on polluted sites nor in immediate proximity to pollution sources that threaten the rig</w:t>
            </w:r>
            <w:r w:rsidR="00C95201">
              <w:rPr>
                <w:rFonts w:cs="Arial"/>
                <w:sz w:val="20"/>
              </w:rPr>
              <w:t xml:space="preserve">ht to health of the inhabitants.” </w:t>
            </w:r>
          </w:p>
          <w:p w14:paraId="1569F401" w14:textId="77777777" w:rsidR="00962667" w:rsidRPr="00C95201" w:rsidRDefault="00962667" w:rsidP="00864B79">
            <w:pPr>
              <w:rPr>
                <w:rFonts w:cs="Arial"/>
                <w:sz w:val="20"/>
              </w:rPr>
            </w:pPr>
          </w:p>
          <w:p w14:paraId="1322B428" w14:textId="03C1ACDD" w:rsidR="00864B79" w:rsidRDefault="007D2567" w:rsidP="00864B79">
            <w:pPr>
              <w:rPr>
                <w:rFonts w:cs="Arial"/>
                <w:sz w:val="20"/>
              </w:rPr>
            </w:pPr>
            <w:r>
              <w:rPr>
                <w:rFonts w:cs="Arial"/>
                <w:sz w:val="20"/>
              </w:rPr>
              <w:t xml:space="preserve">7. </w:t>
            </w:r>
            <w:r w:rsidR="00864B79" w:rsidRPr="00962667">
              <w:rPr>
                <w:rFonts w:cs="Arial"/>
                <w:b/>
                <w:sz w:val="20"/>
              </w:rPr>
              <w:t>Cultural adequacy</w:t>
            </w:r>
            <w:r w:rsidR="00962667">
              <w:rPr>
                <w:rFonts w:cs="Arial"/>
                <w:sz w:val="20"/>
              </w:rPr>
              <w:t xml:space="preserve"> – “</w:t>
            </w:r>
            <w:r w:rsidR="00962667" w:rsidRPr="00962667">
              <w:rPr>
                <w:rFonts w:cs="Arial"/>
                <w:sz w:val="20"/>
              </w:rPr>
              <w:t>The way housing is constructed, the building materials used and the policies supporting these must appropriately enable the expression of cultural identity and diversity of housing. Activities geared towards development or modernization in the housing sphere should ensure that the cultural dimensions of housing are not sacrificed, and that, inter alia, modern technological facilities, as appropriate are also ensured.</w:t>
            </w:r>
            <w:r w:rsidR="00962667">
              <w:rPr>
                <w:rFonts w:cs="Arial"/>
                <w:sz w:val="20"/>
              </w:rPr>
              <w:t>”</w:t>
            </w:r>
          </w:p>
          <w:p w14:paraId="38114C0A" w14:textId="30A195D4" w:rsidR="00382EEE" w:rsidRDefault="00382EEE" w:rsidP="00864B79">
            <w:pPr>
              <w:rPr>
                <w:rFonts w:cs="Arial"/>
                <w:sz w:val="20"/>
              </w:rPr>
            </w:pPr>
          </w:p>
          <w:p w14:paraId="41FDB391" w14:textId="05AEBF9F" w:rsidR="00382EEE" w:rsidRDefault="007C6650" w:rsidP="00864B79">
            <w:pPr>
              <w:rPr>
                <w:rFonts w:cs="Arial"/>
                <w:sz w:val="20"/>
              </w:rPr>
            </w:pPr>
            <w:r>
              <w:rPr>
                <w:rFonts w:cs="Arial"/>
                <w:sz w:val="20"/>
              </w:rPr>
              <w:t>T</w:t>
            </w:r>
            <w:r w:rsidR="00382EEE">
              <w:rPr>
                <w:rFonts w:cs="Arial"/>
                <w:sz w:val="20"/>
              </w:rPr>
              <w:t>he Committee</w:t>
            </w:r>
            <w:r>
              <w:rPr>
                <w:rFonts w:cs="Arial"/>
                <w:sz w:val="20"/>
              </w:rPr>
              <w:t xml:space="preserve"> also</w:t>
            </w:r>
            <w:r w:rsidR="00382EEE">
              <w:rPr>
                <w:rFonts w:cs="Arial"/>
                <w:sz w:val="20"/>
              </w:rPr>
              <w:t xml:space="preserve"> sets out the critical importance of the right to housing in meeting other rights:</w:t>
            </w:r>
          </w:p>
          <w:p w14:paraId="50DB459B" w14:textId="2556B194" w:rsidR="00382EEE" w:rsidRDefault="00382EEE" w:rsidP="00382EEE">
            <w:pPr>
              <w:ind w:left="284" w:right="284"/>
              <w:rPr>
                <w:rFonts w:cs="Arial"/>
                <w:sz w:val="20"/>
              </w:rPr>
            </w:pPr>
          </w:p>
          <w:p w14:paraId="09E752BC" w14:textId="3E2E7F23" w:rsidR="00382EEE" w:rsidRDefault="00382EEE" w:rsidP="00382EEE">
            <w:pPr>
              <w:ind w:left="284" w:right="284"/>
              <w:rPr>
                <w:rFonts w:cs="Arial"/>
                <w:sz w:val="20"/>
              </w:rPr>
            </w:pPr>
            <w:r>
              <w:rPr>
                <w:rFonts w:cs="Arial"/>
                <w:sz w:val="20"/>
              </w:rPr>
              <w:t>“</w:t>
            </w:r>
            <w:r w:rsidRPr="00382EEE">
              <w:rPr>
                <w:rFonts w:cs="Arial"/>
                <w:sz w:val="20"/>
              </w:rPr>
              <w:t>the f</w:t>
            </w:r>
            <w:r>
              <w:rPr>
                <w:rFonts w:cs="Arial"/>
                <w:sz w:val="20"/>
              </w:rPr>
              <w:t xml:space="preserve">ull enjoyment of other rights </w:t>
            </w:r>
            <w:r w:rsidRPr="00382EEE">
              <w:rPr>
                <w:rFonts w:cs="Arial"/>
                <w:sz w:val="20"/>
              </w:rPr>
              <w:t xml:space="preserve">such as the </w:t>
            </w:r>
            <w:r w:rsidRPr="00382EEE">
              <w:rPr>
                <w:rFonts w:cs="Arial"/>
                <w:b/>
                <w:sz w:val="20"/>
              </w:rPr>
              <w:t>right to freedom of expression</w:t>
            </w:r>
            <w:r w:rsidRPr="00382EEE">
              <w:rPr>
                <w:rFonts w:cs="Arial"/>
                <w:sz w:val="20"/>
              </w:rPr>
              <w:t xml:space="preserve">, the </w:t>
            </w:r>
            <w:r w:rsidRPr="00382EEE">
              <w:rPr>
                <w:rFonts w:cs="Arial"/>
                <w:b/>
                <w:sz w:val="20"/>
              </w:rPr>
              <w:t>right to freedom of association (such as for tenants and other community based groups)</w:t>
            </w:r>
            <w:r w:rsidRPr="00382EEE">
              <w:rPr>
                <w:rFonts w:cs="Arial"/>
                <w:sz w:val="20"/>
              </w:rPr>
              <w:t xml:space="preserve">, the </w:t>
            </w:r>
            <w:r w:rsidRPr="00382EEE">
              <w:rPr>
                <w:rFonts w:cs="Arial"/>
                <w:b/>
                <w:sz w:val="20"/>
              </w:rPr>
              <w:t>right to freedom of residence</w:t>
            </w:r>
            <w:r w:rsidRPr="00382EEE">
              <w:rPr>
                <w:rFonts w:cs="Arial"/>
                <w:sz w:val="20"/>
              </w:rPr>
              <w:t xml:space="preserve"> and the </w:t>
            </w:r>
            <w:r w:rsidRPr="00382EEE">
              <w:rPr>
                <w:rFonts w:cs="Arial"/>
                <w:b/>
                <w:sz w:val="20"/>
              </w:rPr>
              <w:t>right to participate in public decision making</w:t>
            </w:r>
            <w:r>
              <w:rPr>
                <w:rFonts w:cs="Arial"/>
                <w:sz w:val="20"/>
              </w:rPr>
              <w:t xml:space="preserve">  </w:t>
            </w:r>
            <w:r w:rsidRPr="00382EEE">
              <w:rPr>
                <w:rFonts w:cs="Arial"/>
                <w:sz w:val="20"/>
              </w:rPr>
              <w:t xml:space="preserve">is indispensable if the right to adequate housing is to be realized and maintained by all groups in society. Similarly, the </w:t>
            </w:r>
            <w:r w:rsidRPr="00382EEE">
              <w:rPr>
                <w:rFonts w:cs="Arial"/>
                <w:b/>
                <w:sz w:val="20"/>
              </w:rPr>
              <w:t>right not to be subjected to arbitrary or unlawful interference with one’s privacy, family, home or correspondence</w:t>
            </w:r>
            <w:r w:rsidRPr="00382EEE">
              <w:rPr>
                <w:rFonts w:cs="Arial"/>
                <w:sz w:val="20"/>
              </w:rPr>
              <w:t xml:space="preserve"> constitutes a very important dimension in defining the right to adequate housing.</w:t>
            </w:r>
            <w:r>
              <w:rPr>
                <w:rFonts w:cs="Arial"/>
                <w:sz w:val="20"/>
              </w:rPr>
              <w:t>”</w:t>
            </w:r>
          </w:p>
          <w:p w14:paraId="2A242733" w14:textId="20DF9821" w:rsidR="007C6650" w:rsidRDefault="007C6650" w:rsidP="007C6650">
            <w:pPr>
              <w:rPr>
                <w:rFonts w:cs="Arial"/>
                <w:sz w:val="20"/>
              </w:rPr>
            </w:pPr>
          </w:p>
          <w:p w14:paraId="3CDBE5DB" w14:textId="51E24D3B" w:rsidR="007C6650" w:rsidRDefault="007C6650" w:rsidP="007C6650">
            <w:pPr>
              <w:rPr>
                <w:rFonts w:cs="Arial"/>
                <w:sz w:val="20"/>
              </w:rPr>
            </w:pPr>
            <w:r>
              <w:rPr>
                <w:rFonts w:cs="Arial"/>
                <w:sz w:val="20"/>
              </w:rPr>
              <w:t>In addition to the specific norms around housing itself, there are a number of general expectations which should inform the policy context around public authorities providing housing. These include:</w:t>
            </w:r>
          </w:p>
          <w:p w14:paraId="71B9B79C" w14:textId="1F5EC3FD" w:rsidR="007C6650" w:rsidRDefault="007C6650" w:rsidP="007C6650">
            <w:pPr>
              <w:rPr>
                <w:rFonts w:cs="Arial"/>
                <w:sz w:val="20"/>
              </w:rPr>
            </w:pPr>
          </w:p>
          <w:p w14:paraId="11919548" w14:textId="2F0C6DF6" w:rsidR="007C6650" w:rsidRDefault="007C6650" w:rsidP="007C6650">
            <w:pPr>
              <w:pStyle w:val="ListParagraph"/>
              <w:numPr>
                <w:ilvl w:val="0"/>
                <w:numId w:val="16"/>
              </w:numPr>
              <w:rPr>
                <w:rFonts w:cs="Arial"/>
                <w:sz w:val="20"/>
              </w:rPr>
            </w:pPr>
            <w:r w:rsidRPr="00EA1C95">
              <w:rPr>
                <w:rFonts w:cs="Arial"/>
                <w:b/>
                <w:sz w:val="20"/>
              </w:rPr>
              <w:t>Immediate obligations</w:t>
            </w:r>
            <w:r>
              <w:rPr>
                <w:rFonts w:cs="Arial"/>
                <w:sz w:val="20"/>
              </w:rPr>
              <w:t xml:space="preserve"> around non-discrimination and in connection </w:t>
            </w:r>
            <w:r w:rsidR="001932C3">
              <w:rPr>
                <w:rFonts w:cs="Arial"/>
                <w:sz w:val="20"/>
              </w:rPr>
              <w:t>with the proper monitoring of</w:t>
            </w:r>
            <w:r>
              <w:rPr>
                <w:rFonts w:cs="Arial"/>
                <w:sz w:val="20"/>
              </w:rPr>
              <w:t xml:space="preserve"> need and planning</w:t>
            </w:r>
            <w:r w:rsidR="001932C3">
              <w:rPr>
                <w:rFonts w:cs="Arial"/>
                <w:sz w:val="20"/>
              </w:rPr>
              <w:t xml:space="preserve"> for provision</w:t>
            </w:r>
          </w:p>
          <w:p w14:paraId="76D4CA6D" w14:textId="12DA1F60" w:rsidR="007C6650" w:rsidRDefault="001932C3" w:rsidP="007C6650">
            <w:pPr>
              <w:pStyle w:val="ListParagraph"/>
              <w:numPr>
                <w:ilvl w:val="0"/>
                <w:numId w:val="16"/>
              </w:numPr>
              <w:rPr>
                <w:rFonts w:cs="Arial"/>
                <w:sz w:val="20"/>
              </w:rPr>
            </w:pPr>
            <w:r w:rsidRPr="00EA1C95">
              <w:rPr>
                <w:rFonts w:cs="Arial"/>
                <w:b/>
                <w:sz w:val="20"/>
              </w:rPr>
              <w:lastRenderedPageBreak/>
              <w:t>Progressive realisation</w:t>
            </w:r>
            <w:r>
              <w:rPr>
                <w:rFonts w:cs="Arial"/>
                <w:sz w:val="20"/>
              </w:rPr>
              <w:t xml:space="preserve"> – the gradual and continuous improvement of the elements described above</w:t>
            </w:r>
          </w:p>
          <w:p w14:paraId="6E0F3292" w14:textId="1895D3B1" w:rsidR="007C6650" w:rsidRDefault="007C6650" w:rsidP="007C6650">
            <w:pPr>
              <w:pStyle w:val="ListParagraph"/>
              <w:numPr>
                <w:ilvl w:val="0"/>
                <w:numId w:val="16"/>
              </w:numPr>
              <w:rPr>
                <w:rFonts w:cs="Arial"/>
                <w:sz w:val="20"/>
              </w:rPr>
            </w:pPr>
            <w:r w:rsidRPr="00EA1C95">
              <w:rPr>
                <w:rFonts w:cs="Arial"/>
                <w:b/>
                <w:sz w:val="20"/>
              </w:rPr>
              <w:t>Non-retrogression</w:t>
            </w:r>
            <w:r w:rsidR="001932C3">
              <w:rPr>
                <w:rFonts w:cs="Arial"/>
                <w:sz w:val="20"/>
              </w:rPr>
              <w:t xml:space="preserve"> – Taking steps to make sure that tenants’ </w:t>
            </w:r>
            <w:r w:rsidR="002F627A">
              <w:rPr>
                <w:rFonts w:cs="Arial"/>
                <w:sz w:val="20"/>
              </w:rPr>
              <w:t xml:space="preserve">outcomes do not deteriorate, </w:t>
            </w:r>
            <w:r w:rsidR="001932C3">
              <w:rPr>
                <w:rFonts w:cs="Arial"/>
                <w:sz w:val="20"/>
              </w:rPr>
              <w:t>that if they do this should be on a temporary basis and that particular groups of people are not disproportionately affected by policy decisions brought about by, for example, a reduction in resources</w:t>
            </w:r>
            <w:r w:rsidR="002F627A">
              <w:rPr>
                <w:rFonts w:cs="Arial"/>
                <w:sz w:val="20"/>
              </w:rPr>
              <w:t>.</w:t>
            </w:r>
          </w:p>
          <w:p w14:paraId="551230F7" w14:textId="17D51E8E" w:rsidR="007C6650" w:rsidRPr="007C6650" w:rsidRDefault="007C6650" w:rsidP="007C6650">
            <w:pPr>
              <w:pStyle w:val="ListParagraph"/>
              <w:numPr>
                <w:ilvl w:val="0"/>
                <w:numId w:val="16"/>
              </w:numPr>
              <w:rPr>
                <w:rFonts w:cs="Arial"/>
                <w:sz w:val="20"/>
              </w:rPr>
            </w:pPr>
            <w:r w:rsidRPr="00EA1C95">
              <w:rPr>
                <w:rFonts w:cs="Arial"/>
                <w:b/>
                <w:sz w:val="20"/>
              </w:rPr>
              <w:t>Maximum of available resources</w:t>
            </w:r>
            <w:r w:rsidR="001932C3">
              <w:rPr>
                <w:rFonts w:cs="Arial"/>
                <w:sz w:val="20"/>
              </w:rPr>
              <w:t xml:space="preserve"> – dedicating as </w:t>
            </w:r>
            <w:r w:rsidR="002F627A">
              <w:rPr>
                <w:rFonts w:cs="Arial"/>
                <w:sz w:val="20"/>
              </w:rPr>
              <w:t xml:space="preserve">high a level of financial and other resources </w:t>
            </w:r>
            <w:r w:rsidR="001932C3">
              <w:rPr>
                <w:rFonts w:cs="Arial"/>
                <w:sz w:val="20"/>
              </w:rPr>
              <w:t>as possible to the realisation of the right to housing.</w:t>
            </w:r>
          </w:p>
          <w:p w14:paraId="4F564659" w14:textId="713AD5F4" w:rsidR="00955E25" w:rsidRDefault="00955E25" w:rsidP="00240B29">
            <w:pPr>
              <w:jc w:val="left"/>
              <w:rPr>
                <w:rFonts w:cs="Arial"/>
                <w:sz w:val="20"/>
              </w:rPr>
            </w:pPr>
          </w:p>
          <w:p w14:paraId="792ED4C5" w14:textId="69E5A416" w:rsidR="00AE1638" w:rsidRDefault="00AE1638" w:rsidP="00240B29">
            <w:pPr>
              <w:jc w:val="left"/>
              <w:rPr>
                <w:rFonts w:cs="Arial"/>
                <w:sz w:val="20"/>
              </w:rPr>
            </w:pPr>
            <w:r>
              <w:rPr>
                <w:rFonts w:cs="Arial"/>
                <w:sz w:val="20"/>
              </w:rPr>
              <w:t>Integration of these standards within the regulatory framework is critical if the Regulator is to adopt a human rights based approach to its mandate.</w:t>
            </w:r>
          </w:p>
          <w:p w14:paraId="3BD5AB36" w14:textId="77777777" w:rsidR="00955E25" w:rsidRPr="0005655E" w:rsidRDefault="00955E25" w:rsidP="00240B29">
            <w:pPr>
              <w:jc w:val="left"/>
              <w:rPr>
                <w:rFonts w:cs="Arial"/>
                <w:sz w:val="20"/>
              </w:rPr>
            </w:pPr>
          </w:p>
        </w:tc>
      </w:tr>
    </w:tbl>
    <w:p w14:paraId="59043265" w14:textId="77777777" w:rsidR="00E566C4" w:rsidRDefault="00E566C4" w:rsidP="002839AA">
      <w:pPr>
        <w:tabs>
          <w:tab w:val="clear" w:pos="720"/>
          <w:tab w:val="left" w:pos="284"/>
        </w:tabs>
      </w:pPr>
    </w:p>
    <w:p w14:paraId="110E35BE" w14:textId="77777777" w:rsidR="003143FE" w:rsidRDefault="008B4EB9" w:rsidP="00F56EB0">
      <w:pPr>
        <w:pStyle w:val="ListParagraph"/>
        <w:numPr>
          <w:ilvl w:val="0"/>
          <w:numId w:val="6"/>
        </w:numPr>
        <w:tabs>
          <w:tab w:val="clear" w:pos="720"/>
          <w:tab w:val="left" w:pos="284"/>
        </w:tabs>
        <w:jc w:val="left"/>
      </w:pPr>
      <w:r w:rsidRPr="008B4EB9">
        <w:t>Do the proposed regulatory requirements cover the right things, and are they framed in the right way?</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3143FE" w:rsidRPr="0005655E" w14:paraId="616FE163" w14:textId="77777777" w:rsidTr="004D48A8">
        <w:trPr>
          <w:trHeight w:val="346"/>
        </w:trPr>
        <w:tc>
          <w:tcPr>
            <w:tcW w:w="9190" w:type="dxa"/>
            <w:vAlign w:val="center"/>
          </w:tcPr>
          <w:p w14:paraId="62B79E4A" w14:textId="4ACA7BD7" w:rsidR="00864B79" w:rsidRDefault="001E1283" w:rsidP="00EA1C95">
            <w:pPr>
              <w:rPr>
                <w:rFonts w:cs="Arial"/>
                <w:sz w:val="20"/>
              </w:rPr>
            </w:pPr>
            <w:r>
              <w:rPr>
                <w:rFonts w:cs="Arial"/>
                <w:sz w:val="20"/>
              </w:rPr>
              <w:t>Requirements to consider equality and human rights are welcome</w:t>
            </w:r>
            <w:r w:rsidR="00E8387B">
              <w:rPr>
                <w:rFonts w:cs="Arial"/>
                <w:sz w:val="20"/>
              </w:rPr>
              <w:t xml:space="preserve"> and reflect the legal framework in place for landlords</w:t>
            </w:r>
            <w:r>
              <w:rPr>
                <w:rFonts w:cs="Arial"/>
                <w:sz w:val="20"/>
              </w:rPr>
              <w:t>. However, in order to take a human rights based approach</w:t>
            </w:r>
            <w:r w:rsidR="00E8387B">
              <w:rPr>
                <w:rFonts w:cs="Arial"/>
                <w:sz w:val="20"/>
              </w:rPr>
              <w:t xml:space="preserve"> to its regulatory function</w:t>
            </w:r>
            <w:r>
              <w:rPr>
                <w:rFonts w:cs="Arial"/>
                <w:sz w:val="20"/>
              </w:rPr>
              <w:t>, the Comm</w:t>
            </w:r>
            <w:r w:rsidR="007F67A3">
              <w:rPr>
                <w:rFonts w:cs="Arial"/>
                <w:sz w:val="20"/>
              </w:rPr>
              <w:t>ission would advocate that the R</w:t>
            </w:r>
            <w:r>
              <w:rPr>
                <w:rFonts w:cs="Arial"/>
                <w:sz w:val="20"/>
              </w:rPr>
              <w:t>egulator</w:t>
            </w:r>
            <w:r w:rsidR="00EA1C95">
              <w:rPr>
                <w:rFonts w:cs="Arial"/>
                <w:sz w:val="20"/>
              </w:rPr>
              <w:t xml:space="preserve"> </w:t>
            </w:r>
            <w:r w:rsidRPr="00864B79">
              <w:rPr>
                <w:rFonts w:cs="Arial"/>
                <w:sz w:val="20"/>
              </w:rPr>
              <w:t>engage</w:t>
            </w:r>
            <w:r w:rsidR="00EA1C95">
              <w:rPr>
                <w:rFonts w:cs="Arial"/>
                <w:sz w:val="20"/>
              </w:rPr>
              <w:t>s</w:t>
            </w:r>
            <w:r w:rsidRPr="00864B79">
              <w:rPr>
                <w:rFonts w:cs="Arial"/>
                <w:sz w:val="20"/>
              </w:rPr>
              <w:t xml:space="preserve"> with a broa</w:t>
            </w:r>
            <w:r w:rsidR="00AE0A4B" w:rsidRPr="00864B79">
              <w:rPr>
                <w:rFonts w:cs="Arial"/>
                <w:sz w:val="20"/>
              </w:rPr>
              <w:t xml:space="preserve">der set of </w:t>
            </w:r>
            <w:r w:rsidR="00EA1C95">
              <w:rPr>
                <w:rFonts w:cs="Arial"/>
                <w:sz w:val="20"/>
              </w:rPr>
              <w:t xml:space="preserve">international human </w:t>
            </w:r>
            <w:r w:rsidR="00AE0A4B" w:rsidRPr="00864B79">
              <w:rPr>
                <w:rFonts w:cs="Arial"/>
                <w:sz w:val="20"/>
              </w:rPr>
              <w:t>rights standards</w:t>
            </w:r>
            <w:r w:rsidR="00EA1C95">
              <w:rPr>
                <w:rFonts w:cs="Arial"/>
                <w:sz w:val="20"/>
              </w:rPr>
              <w:t xml:space="preserve"> (set out in our response to Question 1)</w:t>
            </w:r>
            <w:r w:rsidR="00AE0A4B" w:rsidRPr="00864B79">
              <w:rPr>
                <w:rFonts w:cs="Arial"/>
                <w:sz w:val="20"/>
              </w:rPr>
              <w:t xml:space="preserve"> than</w:t>
            </w:r>
            <w:r w:rsidRPr="00864B79">
              <w:rPr>
                <w:rFonts w:cs="Arial"/>
                <w:sz w:val="20"/>
              </w:rPr>
              <w:t xml:space="preserve"> those we have available domestically</w:t>
            </w:r>
            <w:r w:rsidR="00864B79">
              <w:rPr>
                <w:rFonts w:cs="Arial"/>
                <w:sz w:val="20"/>
              </w:rPr>
              <w:t xml:space="preserve"> to inform their assessment framework, guidance to landlords and the outcomes expected for tenants</w:t>
            </w:r>
            <w:r w:rsidR="00EA1C95">
              <w:rPr>
                <w:rFonts w:cs="Arial"/>
                <w:sz w:val="20"/>
              </w:rPr>
              <w:t xml:space="preserve">. </w:t>
            </w:r>
          </w:p>
          <w:p w14:paraId="53A56A9F" w14:textId="57450A7F" w:rsidR="001E1283" w:rsidRDefault="001E1283" w:rsidP="00AE6E91">
            <w:pPr>
              <w:rPr>
                <w:rFonts w:cs="Arial"/>
                <w:sz w:val="20"/>
              </w:rPr>
            </w:pPr>
          </w:p>
          <w:p w14:paraId="0EB07DD6" w14:textId="46115ABF" w:rsidR="00864B79" w:rsidRDefault="00864B79" w:rsidP="00AE6E91">
            <w:pPr>
              <w:rPr>
                <w:rFonts w:cs="Arial"/>
                <w:sz w:val="20"/>
              </w:rPr>
            </w:pPr>
            <w:r w:rsidRPr="00864B79">
              <w:rPr>
                <w:rFonts w:cs="Arial"/>
                <w:sz w:val="20"/>
              </w:rPr>
              <w:t>It is possible that in the near future, the Scottish Parliament may choose to incorporate additional rights from ICESCR and from other of the international treaties into our domestic law in Scotland, at which point public authority landlords could be held to account</w:t>
            </w:r>
            <w:r w:rsidR="00E81A4C">
              <w:rPr>
                <w:rFonts w:cs="Arial"/>
                <w:sz w:val="20"/>
              </w:rPr>
              <w:t xml:space="preserve"> on the basis of their performance in delivering the right to housing </w:t>
            </w:r>
            <w:r w:rsidRPr="00864B79">
              <w:rPr>
                <w:rFonts w:cs="Arial"/>
                <w:sz w:val="20"/>
              </w:rPr>
              <w:t xml:space="preserve"> in a court of law in Scotland. It would therefore be an appropriate time for the Regulator to set the expectation that landlords should comply with human rights standards, thus preparing the ground and avoiding</w:t>
            </w:r>
            <w:r w:rsidR="00E81A4C">
              <w:rPr>
                <w:rFonts w:cs="Arial"/>
                <w:sz w:val="20"/>
              </w:rPr>
              <w:t xml:space="preserve"> costly</w:t>
            </w:r>
            <w:r w:rsidRPr="00864B79">
              <w:rPr>
                <w:rFonts w:cs="Arial"/>
                <w:sz w:val="20"/>
              </w:rPr>
              <w:t xml:space="preserve"> litigation.</w:t>
            </w:r>
          </w:p>
          <w:p w14:paraId="1FDEDEF6" w14:textId="77777777" w:rsidR="00955E25" w:rsidRDefault="00955E25" w:rsidP="00AE6E91">
            <w:pPr>
              <w:rPr>
                <w:rFonts w:cs="Arial"/>
                <w:sz w:val="20"/>
              </w:rPr>
            </w:pPr>
          </w:p>
          <w:p w14:paraId="2910EF07" w14:textId="4DB66777" w:rsidR="00BE3062" w:rsidRDefault="00BE3062" w:rsidP="00BE3062">
            <w:pPr>
              <w:rPr>
                <w:rFonts w:cs="Arial"/>
                <w:sz w:val="20"/>
              </w:rPr>
            </w:pPr>
            <w:r>
              <w:rPr>
                <w:rFonts w:cs="Arial"/>
                <w:sz w:val="20"/>
              </w:rPr>
              <w:t>Our sister NHRI, the Equality and Human Rights Commission will provide detailed feedback with respect to the relevant Equality Act 2010</w:t>
            </w:r>
            <w:r w:rsidR="00E81A4C">
              <w:rPr>
                <w:rFonts w:cs="Arial"/>
                <w:sz w:val="20"/>
              </w:rPr>
              <w:t xml:space="preserve"> obligations. However, the Commission</w:t>
            </w:r>
            <w:r>
              <w:rPr>
                <w:rFonts w:cs="Arial"/>
                <w:sz w:val="20"/>
              </w:rPr>
              <w:t xml:space="preserve"> would like to note that a human rights based approach advocates identifying and working alongside groups of people who are furthest away from realising their right to housing, and that robust data collection, analysis and use would underpin that activity.</w:t>
            </w:r>
          </w:p>
          <w:p w14:paraId="4298227D" w14:textId="62380F9B" w:rsidR="00BE3062" w:rsidRPr="0005655E" w:rsidRDefault="00BE3062" w:rsidP="00AE6E91">
            <w:pPr>
              <w:rPr>
                <w:rFonts w:cs="Arial"/>
                <w:sz w:val="20"/>
              </w:rPr>
            </w:pPr>
          </w:p>
        </w:tc>
      </w:tr>
    </w:tbl>
    <w:p w14:paraId="1C2673DA" w14:textId="77777777" w:rsidR="00E566C4" w:rsidRDefault="00E566C4" w:rsidP="00E566C4">
      <w:pPr>
        <w:tabs>
          <w:tab w:val="clear" w:pos="720"/>
          <w:tab w:val="left" w:pos="284"/>
        </w:tabs>
      </w:pPr>
    </w:p>
    <w:p w14:paraId="0A37205B" w14:textId="77777777" w:rsidR="002839AA" w:rsidRDefault="006B104C" w:rsidP="006B104C">
      <w:pPr>
        <w:pStyle w:val="ListParagraph"/>
        <w:numPr>
          <w:ilvl w:val="0"/>
          <w:numId w:val="6"/>
        </w:numPr>
        <w:tabs>
          <w:tab w:val="clear" w:pos="720"/>
          <w:tab w:val="left" w:pos="284"/>
        </w:tabs>
        <w:jc w:val="left"/>
      </w:pPr>
      <w:r>
        <w:t xml:space="preserve"> </w:t>
      </w:r>
      <w:r w:rsidRPr="006B104C">
        <w:t>Is there anything missing? Or any other comments?</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3143FE" w:rsidRPr="00E33CE4" w14:paraId="68064744" w14:textId="77777777" w:rsidTr="004D48A8">
        <w:trPr>
          <w:trHeight w:val="346"/>
        </w:trPr>
        <w:tc>
          <w:tcPr>
            <w:tcW w:w="9190" w:type="dxa"/>
            <w:vAlign w:val="center"/>
          </w:tcPr>
          <w:p w14:paraId="139D7EC0" w14:textId="7DC22B73" w:rsidR="00BB1F40" w:rsidRDefault="0021059B" w:rsidP="00AE6E91">
            <w:pPr>
              <w:rPr>
                <w:rFonts w:cs="Arial"/>
                <w:sz w:val="20"/>
              </w:rPr>
            </w:pPr>
            <w:r>
              <w:rPr>
                <w:rFonts w:cs="Arial"/>
                <w:sz w:val="20"/>
              </w:rPr>
              <w:t>As we have articulated in our response to Questions 1 and 2, the</w:t>
            </w:r>
            <w:r w:rsidR="00EA1C95">
              <w:rPr>
                <w:rFonts w:cs="Arial"/>
                <w:sz w:val="20"/>
              </w:rPr>
              <w:t xml:space="preserve"> Commission is of the view that i</w:t>
            </w:r>
            <w:r w:rsidR="00BB1F40">
              <w:rPr>
                <w:rFonts w:cs="Arial"/>
                <w:sz w:val="20"/>
              </w:rPr>
              <w:t>nternationally agreed</w:t>
            </w:r>
            <w:r w:rsidR="00EA1C95">
              <w:rPr>
                <w:rFonts w:cs="Arial"/>
                <w:sz w:val="20"/>
              </w:rPr>
              <w:t xml:space="preserve"> human rights</w:t>
            </w:r>
            <w:r w:rsidR="00BB1F40">
              <w:rPr>
                <w:rFonts w:cs="Arial"/>
                <w:sz w:val="20"/>
              </w:rPr>
              <w:t xml:space="preserve"> standards in relation to the right to housi</w:t>
            </w:r>
            <w:r w:rsidR="005321B6">
              <w:rPr>
                <w:rFonts w:cs="Arial"/>
                <w:sz w:val="20"/>
              </w:rPr>
              <w:t xml:space="preserve">ng should </w:t>
            </w:r>
            <w:r w:rsidR="00EA1C95">
              <w:rPr>
                <w:rFonts w:cs="Arial"/>
                <w:sz w:val="20"/>
              </w:rPr>
              <w:t>be incorporated within the regulatory framework.</w:t>
            </w:r>
          </w:p>
          <w:p w14:paraId="7C6C48BC" w14:textId="77777777" w:rsidR="00955E25" w:rsidRDefault="00955E25" w:rsidP="00AE6E91">
            <w:pPr>
              <w:rPr>
                <w:rFonts w:cs="Arial"/>
                <w:sz w:val="20"/>
              </w:rPr>
            </w:pPr>
          </w:p>
          <w:p w14:paraId="612F4A88" w14:textId="77777777" w:rsidR="00955E25" w:rsidRDefault="00955E25" w:rsidP="00AE6E91">
            <w:pPr>
              <w:rPr>
                <w:rFonts w:cs="Arial"/>
                <w:sz w:val="20"/>
              </w:rPr>
            </w:pPr>
          </w:p>
          <w:p w14:paraId="6E4B3585" w14:textId="77777777" w:rsidR="00955E25" w:rsidRDefault="00955E25" w:rsidP="00AE6E91">
            <w:pPr>
              <w:rPr>
                <w:rFonts w:cs="Arial"/>
                <w:sz w:val="20"/>
              </w:rPr>
            </w:pPr>
          </w:p>
          <w:p w14:paraId="565121A8" w14:textId="77777777" w:rsidR="00955E25" w:rsidRDefault="00955E25" w:rsidP="00AE6E91">
            <w:pPr>
              <w:rPr>
                <w:rFonts w:cs="Arial"/>
                <w:sz w:val="20"/>
              </w:rPr>
            </w:pPr>
          </w:p>
          <w:p w14:paraId="01850B11" w14:textId="77777777" w:rsidR="00955E25" w:rsidRPr="0005655E" w:rsidRDefault="00955E25" w:rsidP="00AE6E91">
            <w:pPr>
              <w:rPr>
                <w:rFonts w:cs="Arial"/>
                <w:sz w:val="20"/>
              </w:rPr>
            </w:pPr>
          </w:p>
        </w:tc>
      </w:tr>
    </w:tbl>
    <w:p w14:paraId="53E8EF78" w14:textId="77777777" w:rsidR="00B12A56" w:rsidRDefault="00B12A56" w:rsidP="002839AA">
      <w:pPr>
        <w:tabs>
          <w:tab w:val="clear" w:pos="720"/>
          <w:tab w:val="left" w:pos="284"/>
        </w:tabs>
      </w:pPr>
    </w:p>
    <w:p w14:paraId="2A37A5E3" w14:textId="77777777" w:rsidR="002839AA" w:rsidRPr="00E33CE4" w:rsidRDefault="00E33CE4" w:rsidP="00240B29">
      <w:pPr>
        <w:pStyle w:val="ListParagraph"/>
        <w:numPr>
          <w:ilvl w:val="0"/>
          <w:numId w:val="6"/>
        </w:numPr>
        <w:tabs>
          <w:tab w:val="clear" w:pos="720"/>
          <w:tab w:val="left" w:pos="284"/>
        </w:tabs>
        <w:jc w:val="left"/>
      </w:pPr>
      <w:r w:rsidRPr="00E33CE4">
        <w:t>Should we add to, amend, or remove anything from the proposed Standards?</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3143FE" w:rsidRPr="0073182D" w14:paraId="3469D51C" w14:textId="77777777" w:rsidTr="004D48A8">
        <w:trPr>
          <w:trHeight w:val="346"/>
        </w:trPr>
        <w:tc>
          <w:tcPr>
            <w:tcW w:w="9190" w:type="dxa"/>
            <w:vAlign w:val="center"/>
          </w:tcPr>
          <w:p w14:paraId="33E3C065" w14:textId="1044F0C7" w:rsidR="003143FE" w:rsidRPr="00E33CE4" w:rsidRDefault="003143FE" w:rsidP="00AE6E91">
            <w:pPr>
              <w:rPr>
                <w:rFonts w:cs="Arial"/>
                <w:sz w:val="20"/>
              </w:rPr>
            </w:pPr>
          </w:p>
          <w:p w14:paraId="4358AEBE" w14:textId="77777777" w:rsidR="00955E25" w:rsidRPr="00E33CE4" w:rsidRDefault="00955E25" w:rsidP="00AE6E91">
            <w:pPr>
              <w:rPr>
                <w:rFonts w:cs="Arial"/>
                <w:sz w:val="20"/>
              </w:rPr>
            </w:pPr>
          </w:p>
          <w:p w14:paraId="3C3496E0" w14:textId="77777777" w:rsidR="00955E25" w:rsidRPr="00E33CE4" w:rsidRDefault="00955E25" w:rsidP="00AE6E91">
            <w:pPr>
              <w:rPr>
                <w:rFonts w:cs="Arial"/>
                <w:sz w:val="20"/>
              </w:rPr>
            </w:pPr>
          </w:p>
          <w:p w14:paraId="488CDFC6" w14:textId="77777777" w:rsidR="00955E25" w:rsidRPr="00E33CE4" w:rsidRDefault="00955E25" w:rsidP="00AE6E91">
            <w:pPr>
              <w:rPr>
                <w:rFonts w:cs="Arial"/>
                <w:sz w:val="20"/>
              </w:rPr>
            </w:pPr>
          </w:p>
          <w:p w14:paraId="5F7184F2" w14:textId="77777777" w:rsidR="00955E25" w:rsidRPr="00E33CE4" w:rsidRDefault="00955E25" w:rsidP="00AE6E91">
            <w:pPr>
              <w:rPr>
                <w:rFonts w:cs="Arial"/>
                <w:sz w:val="20"/>
              </w:rPr>
            </w:pPr>
          </w:p>
          <w:p w14:paraId="210625D6" w14:textId="77777777" w:rsidR="00955E25" w:rsidRPr="00E33CE4" w:rsidRDefault="00955E25" w:rsidP="00AE6E91">
            <w:pPr>
              <w:rPr>
                <w:rFonts w:cs="Arial"/>
                <w:sz w:val="20"/>
              </w:rPr>
            </w:pPr>
          </w:p>
          <w:p w14:paraId="03E64821" w14:textId="77777777" w:rsidR="00955E25" w:rsidRPr="00E33CE4" w:rsidRDefault="00955E25" w:rsidP="00AE6E91">
            <w:pPr>
              <w:rPr>
                <w:rFonts w:cs="Arial"/>
                <w:sz w:val="20"/>
              </w:rPr>
            </w:pPr>
          </w:p>
        </w:tc>
      </w:tr>
    </w:tbl>
    <w:p w14:paraId="5B2152B6" w14:textId="77777777" w:rsidR="00E33CE4" w:rsidRDefault="00E33CE4" w:rsidP="002839AA">
      <w:pPr>
        <w:tabs>
          <w:tab w:val="clear" w:pos="720"/>
          <w:tab w:val="left" w:pos="284"/>
        </w:tabs>
      </w:pPr>
    </w:p>
    <w:p w14:paraId="286EEB28" w14:textId="77777777" w:rsidR="00E566C4" w:rsidRPr="0073182D" w:rsidRDefault="00E33CE4" w:rsidP="002839AA">
      <w:pPr>
        <w:tabs>
          <w:tab w:val="clear" w:pos="720"/>
          <w:tab w:val="left" w:pos="284"/>
        </w:tabs>
        <w:rPr>
          <w:highlight w:val="yellow"/>
        </w:rPr>
      </w:pPr>
      <w:r>
        <w:t>5</w:t>
      </w:r>
      <w:r w:rsidRPr="00E33CE4">
        <w:t>.</w:t>
      </w:r>
      <w:r w:rsidRPr="00E33CE4">
        <w:tab/>
        <w:t>Is the new Standard 7 useful, and is it framed in the right way?</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3143FE" w:rsidRPr="0073182D" w14:paraId="4DB6C859" w14:textId="77777777" w:rsidTr="004D48A8">
        <w:trPr>
          <w:trHeight w:val="346"/>
        </w:trPr>
        <w:tc>
          <w:tcPr>
            <w:tcW w:w="9190" w:type="dxa"/>
            <w:vAlign w:val="center"/>
          </w:tcPr>
          <w:p w14:paraId="42402B9B" w14:textId="69431FD2" w:rsidR="003143FE" w:rsidRPr="00E33CE4" w:rsidRDefault="003143FE" w:rsidP="00AE6E91">
            <w:pPr>
              <w:rPr>
                <w:rFonts w:cs="Arial"/>
                <w:sz w:val="20"/>
              </w:rPr>
            </w:pPr>
            <w:r w:rsidRPr="00E33CE4">
              <w:rPr>
                <w:rFonts w:cs="Arial"/>
                <w:sz w:val="20"/>
              </w:rPr>
              <w:fldChar w:fldCharType="begin">
                <w:ffData>
                  <w:name w:val="Text3"/>
                  <w:enabled/>
                  <w:calcOnExit w:val="0"/>
                  <w:textInput/>
                </w:ffData>
              </w:fldChar>
            </w:r>
            <w:r w:rsidRPr="00E33CE4">
              <w:rPr>
                <w:rFonts w:cs="Arial"/>
                <w:sz w:val="20"/>
              </w:rPr>
              <w:instrText xml:space="preserve"> FORMTEXT </w:instrText>
            </w:r>
            <w:r w:rsidRPr="00E33CE4">
              <w:rPr>
                <w:rFonts w:cs="Arial"/>
                <w:sz w:val="20"/>
              </w:rPr>
            </w:r>
            <w:r w:rsidRPr="00E33CE4">
              <w:rPr>
                <w:rFonts w:cs="Arial"/>
                <w:sz w:val="20"/>
              </w:rPr>
              <w:fldChar w:fldCharType="separate"/>
            </w:r>
            <w:r w:rsidRPr="00E33CE4">
              <w:rPr>
                <w:rFonts w:cs="Arial"/>
                <w:noProof/>
                <w:sz w:val="20"/>
              </w:rPr>
              <w:t> </w:t>
            </w:r>
            <w:r w:rsidRPr="00E33CE4">
              <w:rPr>
                <w:rFonts w:cs="Arial"/>
                <w:noProof/>
                <w:sz w:val="20"/>
              </w:rPr>
              <w:t> </w:t>
            </w:r>
            <w:r w:rsidRPr="00E33CE4">
              <w:rPr>
                <w:rFonts w:cs="Arial"/>
                <w:noProof/>
                <w:sz w:val="20"/>
              </w:rPr>
              <w:t> </w:t>
            </w:r>
            <w:r w:rsidRPr="00E33CE4">
              <w:rPr>
                <w:rFonts w:cs="Arial"/>
                <w:noProof/>
                <w:sz w:val="20"/>
              </w:rPr>
              <w:t> </w:t>
            </w:r>
            <w:r w:rsidRPr="00E33CE4">
              <w:rPr>
                <w:rFonts w:cs="Arial"/>
                <w:noProof/>
                <w:sz w:val="20"/>
              </w:rPr>
              <w:t> </w:t>
            </w:r>
            <w:r w:rsidRPr="00E33CE4">
              <w:rPr>
                <w:rFonts w:cs="Arial"/>
                <w:sz w:val="20"/>
              </w:rPr>
              <w:fldChar w:fldCharType="end"/>
            </w:r>
          </w:p>
          <w:p w14:paraId="32D5BD7D" w14:textId="77777777" w:rsidR="00955E25" w:rsidRPr="0073182D" w:rsidRDefault="00955E25" w:rsidP="00AE6E91">
            <w:pPr>
              <w:rPr>
                <w:rFonts w:cs="Arial"/>
                <w:sz w:val="20"/>
                <w:highlight w:val="yellow"/>
              </w:rPr>
            </w:pPr>
          </w:p>
          <w:p w14:paraId="4CD338A1" w14:textId="77777777" w:rsidR="00955E25" w:rsidRPr="0073182D" w:rsidRDefault="00955E25" w:rsidP="00AE6E91">
            <w:pPr>
              <w:rPr>
                <w:rFonts w:cs="Arial"/>
                <w:sz w:val="20"/>
                <w:highlight w:val="yellow"/>
              </w:rPr>
            </w:pPr>
          </w:p>
          <w:p w14:paraId="5E30589F" w14:textId="77777777" w:rsidR="00955E25" w:rsidRDefault="00955E25" w:rsidP="00AE6E91">
            <w:pPr>
              <w:rPr>
                <w:rFonts w:cs="Arial"/>
                <w:sz w:val="20"/>
                <w:highlight w:val="yellow"/>
              </w:rPr>
            </w:pPr>
          </w:p>
          <w:p w14:paraId="7FC4A752" w14:textId="77777777" w:rsidR="003E408C" w:rsidRDefault="003E408C" w:rsidP="00AE6E91">
            <w:pPr>
              <w:rPr>
                <w:rFonts w:cs="Arial"/>
                <w:sz w:val="20"/>
                <w:highlight w:val="yellow"/>
              </w:rPr>
            </w:pPr>
          </w:p>
          <w:p w14:paraId="3653F3A5" w14:textId="77777777" w:rsidR="003E408C" w:rsidRPr="0073182D" w:rsidRDefault="003E408C" w:rsidP="00AE6E91">
            <w:pPr>
              <w:rPr>
                <w:rFonts w:cs="Arial"/>
                <w:sz w:val="20"/>
                <w:highlight w:val="yellow"/>
              </w:rPr>
            </w:pPr>
          </w:p>
        </w:tc>
      </w:tr>
    </w:tbl>
    <w:p w14:paraId="7830DC24" w14:textId="77777777" w:rsidR="002839AA" w:rsidRDefault="002839AA" w:rsidP="002839AA">
      <w:pPr>
        <w:rPr>
          <w:highlight w:val="yellow"/>
        </w:rPr>
      </w:pPr>
    </w:p>
    <w:p w14:paraId="057A3ACE" w14:textId="77777777" w:rsidR="00E33CE4" w:rsidRPr="00886EC9" w:rsidRDefault="00E1544E" w:rsidP="00E1544E">
      <w:pPr>
        <w:jc w:val="left"/>
      </w:pPr>
      <w:r>
        <w:t xml:space="preserve">6. </w:t>
      </w:r>
      <w:r w:rsidR="00E33CE4" w:rsidRPr="00E33CE4">
        <w:t xml:space="preserve"> Would you like to make any other comments about the Standards?</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3143FE" w:rsidRPr="0073182D" w14:paraId="3CC42BB0" w14:textId="77777777" w:rsidTr="004D48A8">
        <w:trPr>
          <w:trHeight w:val="346"/>
        </w:trPr>
        <w:tc>
          <w:tcPr>
            <w:tcW w:w="9190" w:type="dxa"/>
            <w:vAlign w:val="center"/>
          </w:tcPr>
          <w:p w14:paraId="3D2EAFB4" w14:textId="46CE9AF4" w:rsidR="003143FE" w:rsidRPr="0073182D" w:rsidRDefault="003143FE" w:rsidP="00AE6E91">
            <w:pPr>
              <w:rPr>
                <w:rFonts w:cs="Arial"/>
                <w:sz w:val="20"/>
                <w:highlight w:val="yellow"/>
              </w:rPr>
            </w:pPr>
          </w:p>
          <w:p w14:paraId="43174F14" w14:textId="77777777" w:rsidR="00955E25" w:rsidRPr="0073182D" w:rsidRDefault="00955E25" w:rsidP="00AE6E91">
            <w:pPr>
              <w:rPr>
                <w:rFonts w:cs="Arial"/>
                <w:sz w:val="20"/>
                <w:highlight w:val="yellow"/>
              </w:rPr>
            </w:pPr>
          </w:p>
          <w:p w14:paraId="70417F11" w14:textId="77777777" w:rsidR="00955E25" w:rsidRPr="0073182D" w:rsidRDefault="00955E25" w:rsidP="00AE6E91">
            <w:pPr>
              <w:rPr>
                <w:rFonts w:cs="Arial"/>
                <w:sz w:val="20"/>
                <w:highlight w:val="yellow"/>
              </w:rPr>
            </w:pPr>
          </w:p>
          <w:p w14:paraId="1BB48FFC" w14:textId="77777777" w:rsidR="00955E25" w:rsidRPr="0073182D" w:rsidRDefault="00955E25" w:rsidP="00AE6E91">
            <w:pPr>
              <w:rPr>
                <w:rFonts w:cs="Arial"/>
                <w:sz w:val="20"/>
                <w:highlight w:val="yellow"/>
              </w:rPr>
            </w:pPr>
          </w:p>
          <w:p w14:paraId="79048418" w14:textId="77777777" w:rsidR="00955E25" w:rsidRPr="0073182D" w:rsidRDefault="00955E25" w:rsidP="00AE6E91">
            <w:pPr>
              <w:rPr>
                <w:rFonts w:cs="Arial"/>
                <w:sz w:val="20"/>
                <w:highlight w:val="yellow"/>
              </w:rPr>
            </w:pPr>
          </w:p>
          <w:p w14:paraId="3D4C8CD9" w14:textId="77777777" w:rsidR="00955E25" w:rsidRPr="0073182D" w:rsidRDefault="00955E25" w:rsidP="00AE6E91">
            <w:pPr>
              <w:rPr>
                <w:rFonts w:cs="Arial"/>
                <w:sz w:val="20"/>
                <w:highlight w:val="yellow"/>
              </w:rPr>
            </w:pPr>
          </w:p>
        </w:tc>
      </w:tr>
    </w:tbl>
    <w:p w14:paraId="4CCCC405" w14:textId="77777777" w:rsidR="00E1544E" w:rsidRDefault="00E1544E" w:rsidP="00E1544E">
      <w:pPr>
        <w:jc w:val="left"/>
      </w:pPr>
    </w:p>
    <w:p w14:paraId="6688DFC9" w14:textId="77777777" w:rsidR="00920A53" w:rsidRDefault="00920A53" w:rsidP="00E1544E">
      <w:pPr>
        <w:jc w:val="left"/>
      </w:pPr>
    </w:p>
    <w:p w14:paraId="2BFE1868" w14:textId="77777777" w:rsidR="00920A53" w:rsidRDefault="00920A53" w:rsidP="00E1544E">
      <w:pPr>
        <w:jc w:val="left"/>
      </w:pPr>
    </w:p>
    <w:p w14:paraId="4DFB2752" w14:textId="77777777" w:rsidR="00E82FF6" w:rsidRDefault="00E82FF6" w:rsidP="00E1544E">
      <w:pPr>
        <w:jc w:val="left"/>
      </w:pPr>
    </w:p>
    <w:p w14:paraId="372050F4" w14:textId="77777777" w:rsidR="00E82FF6" w:rsidRPr="00E1544E" w:rsidRDefault="00E82FF6" w:rsidP="00E1544E">
      <w:pPr>
        <w:jc w:val="left"/>
      </w:pPr>
    </w:p>
    <w:p w14:paraId="6DCE6426" w14:textId="77777777" w:rsidR="00E1544E" w:rsidRPr="00E1544E" w:rsidRDefault="00E1544E" w:rsidP="00E1544E">
      <w:pPr>
        <w:jc w:val="left"/>
      </w:pPr>
      <w:r w:rsidRPr="00E1544E">
        <w:t>7</w:t>
      </w:r>
      <w:r>
        <w:t>.</w:t>
      </w:r>
      <w:r w:rsidRPr="00E1544E">
        <w:t xml:space="preserve"> </w:t>
      </w:r>
      <w:r>
        <w:t xml:space="preserve"> </w:t>
      </w:r>
      <w:r w:rsidRPr="00E1544E">
        <w:t>Is the approach we have set out in Chapter 4 right? Any other comments?</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3143FE" w:rsidRPr="0073182D" w14:paraId="0840403C" w14:textId="77777777" w:rsidTr="004D48A8">
        <w:trPr>
          <w:trHeight w:val="346"/>
        </w:trPr>
        <w:tc>
          <w:tcPr>
            <w:tcW w:w="9190" w:type="dxa"/>
            <w:vAlign w:val="center"/>
          </w:tcPr>
          <w:p w14:paraId="188CC74E" w14:textId="367638AD" w:rsidR="005321B6" w:rsidRPr="00BE3062" w:rsidRDefault="005321B6" w:rsidP="00AE6E91">
            <w:pPr>
              <w:rPr>
                <w:rFonts w:cs="Arial"/>
                <w:sz w:val="20"/>
              </w:rPr>
            </w:pPr>
            <w:r w:rsidRPr="00BE3062">
              <w:rPr>
                <w:rFonts w:cs="Arial"/>
                <w:sz w:val="20"/>
              </w:rPr>
              <w:t>The Commission welcomes the Regulator’s engagement with tenants on the kind of information which they would find useful and the most accessible and appropriate formats for this information.</w:t>
            </w:r>
            <w:r w:rsidR="00A45F6B">
              <w:rPr>
                <w:rFonts w:cs="Arial"/>
                <w:sz w:val="20"/>
              </w:rPr>
              <w:t xml:space="preserve"> We also recognise that the provision of this kind of information empowers tenants to ask critical questions and </w:t>
            </w:r>
            <w:r w:rsidR="00327AFC">
              <w:rPr>
                <w:rFonts w:cs="Arial"/>
                <w:sz w:val="20"/>
              </w:rPr>
              <w:t xml:space="preserve">to </w:t>
            </w:r>
            <w:r w:rsidR="004E3B0F">
              <w:rPr>
                <w:rFonts w:cs="Arial"/>
                <w:sz w:val="20"/>
              </w:rPr>
              <w:t xml:space="preserve">hold landlords to account; the comparisons available between an individual landlord’s performance and the national average provide tenants and tenants’ organisations with relevant information for accountability purposes. However, </w:t>
            </w:r>
            <w:r w:rsidR="000E1126" w:rsidRPr="00BE3062">
              <w:rPr>
                <w:rFonts w:cs="Arial"/>
                <w:sz w:val="20"/>
              </w:rPr>
              <w:t>while these</w:t>
            </w:r>
            <w:r w:rsidR="004E3B0F">
              <w:rPr>
                <w:rFonts w:cs="Arial"/>
                <w:sz w:val="20"/>
              </w:rPr>
              <w:t xml:space="preserve"> summaries</w:t>
            </w:r>
            <w:r w:rsidR="000E1126" w:rsidRPr="00BE3062">
              <w:rPr>
                <w:rFonts w:cs="Arial"/>
                <w:sz w:val="20"/>
              </w:rPr>
              <w:t xml:space="preserve"> rightly demonstrate strengths,</w:t>
            </w:r>
            <w:r w:rsidR="00827534">
              <w:rPr>
                <w:rFonts w:cs="Arial"/>
                <w:sz w:val="20"/>
              </w:rPr>
              <w:t xml:space="preserve"> the non-reporting of data relating to low satisfaction/poor scoring means</w:t>
            </w:r>
            <w:r w:rsidR="000E1126" w:rsidRPr="00BE3062">
              <w:rPr>
                <w:rFonts w:cs="Arial"/>
                <w:sz w:val="20"/>
              </w:rPr>
              <w:t xml:space="preserve"> there is a</w:t>
            </w:r>
            <w:r w:rsidR="00BC2800" w:rsidRPr="00BE3062">
              <w:rPr>
                <w:rFonts w:cs="Arial"/>
                <w:sz w:val="20"/>
              </w:rPr>
              <w:t>lso</w:t>
            </w:r>
            <w:r w:rsidR="00827534">
              <w:rPr>
                <w:rFonts w:cs="Arial"/>
                <w:sz w:val="20"/>
              </w:rPr>
              <w:t xml:space="preserve"> a</w:t>
            </w:r>
            <w:r w:rsidR="00BC2800" w:rsidRPr="00BE3062">
              <w:rPr>
                <w:rFonts w:cs="Arial"/>
                <w:sz w:val="20"/>
              </w:rPr>
              <w:t xml:space="preserve"> </w:t>
            </w:r>
            <w:r w:rsidR="000E1126" w:rsidRPr="00BE3062">
              <w:rPr>
                <w:rFonts w:cs="Arial"/>
                <w:sz w:val="20"/>
              </w:rPr>
              <w:t xml:space="preserve"> tendency to elide tenants’ negative experiences. For example, </w:t>
            </w:r>
            <w:r w:rsidR="004E3B0F">
              <w:rPr>
                <w:rFonts w:cs="Arial"/>
                <w:sz w:val="20"/>
              </w:rPr>
              <w:t>data might</w:t>
            </w:r>
            <w:r w:rsidR="000E1126" w:rsidRPr="00BE3062">
              <w:rPr>
                <w:rFonts w:cs="Arial"/>
                <w:sz w:val="20"/>
              </w:rPr>
              <w:t xml:space="preserve"> demonstrate 85% satisfaction, but has little to say about the experiences of the other 15% and why these have been less positive. This is a core plank of </w:t>
            </w:r>
            <w:r w:rsidR="00D10743" w:rsidRPr="00BE3062">
              <w:rPr>
                <w:rFonts w:cs="Arial"/>
                <w:sz w:val="20"/>
              </w:rPr>
              <w:t>accountability</w:t>
            </w:r>
            <w:r w:rsidR="00BC2800" w:rsidRPr="00BE3062">
              <w:rPr>
                <w:rFonts w:cs="Arial"/>
                <w:sz w:val="20"/>
              </w:rPr>
              <w:t>, and it would be useful if annual reports could summarise in which areas a landlord may be working towards compliance/performing less well.</w:t>
            </w:r>
          </w:p>
          <w:p w14:paraId="5B05CAC1" w14:textId="3BFBDCB6" w:rsidR="00955E25" w:rsidRPr="0073182D" w:rsidRDefault="00955E25" w:rsidP="00AE6E91">
            <w:pPr>
              <w:rPr>
                <w:rFonts w:cs="Arial"/>
                <w:sz w:val="20"/>
                <w:highlight w:val="yellow"/>
              </w:rPr>
            </w:pPr>
          </w:p>
        </w:tc>
      </w:tr>
    </w:tbl>
    <w:p w14:paraId="23ECE36A" w14:textId="77777777" w:rsidR="00164122" w:rsidRPr="00886EC9" w:rsidRDefault="00164122" w:rsidP="002C0C6C"/>
    <w:p w14:paraId="51DD1407" w14:textId="77777777" w:rsidR="00164122" w:rsidRPr="00886EC9" w:rsidRDefault="00164122" w:rsidP="00164122">
      <w:r w:rsidRPr="00886EC9">
        <w:t>8</w:t>
      </w:r>
      <w:r w:rsidR="004B7B33">
        <w:t>.</w:t>
      </w:r>
      <w:r w:rsidRPr="00886EC9">
        <w:t xml:space="preserve"> Are our proposals for the Annual Assurance Statement right?</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164122" w:rsidRPr="0073182D" w14:paraId="05809B61" w14:textId="77777777" w:rsidTr="004D48A8">
        <w:trPr>
          <w:trHeight w:val="346"/>
        </w:trPr>
        <w:tc>
          <w:tcPr>
            <w:tcW w:w="9190" w:type="dxa"/>
            <w:vAlign w:val="center"/>
          </w:tcPr>
          <w:p w14:paraId="12980382" w14:textId="65B8ED95" w:rsidR="00C818E7" w:rsidRDefault="00D10743" w:rsidP="005321B6">
            <w:pPr>
              <w:rPr>
                <w:rFonts w:cs="Arial"/>
                <w:sz w:val="20"/>
              </w:rPr>
            </w:pPr>
            <w:r>
              <w:rPr>
                <w:rFonts w:cs="Arial"/>
                <w:sz w:val="20"/>
              </w:rPr>
              <w:t>The Commission recognises</w:t>
            </w:r>
            <w:r w:rsidR="005321B6">
              <w:rPr>
                <w:rFonts w:cs="Arial"/>
                <w:sz w:val="20"/>
              </w:rPr>
              <w:t xml:space="preserve"> the value of Landlord Self-Assurance</w:t>
            </w:r>
            <w:r w:rsidR="00E165C4">
              <w:rPr>
                <w:rFonts w:cs="Arial"/>
                <w:sz w:val="20"/>
              </w:rPr>
              <w:t xml:space="preserve"> as a proportionate way</w:t>
            </w:r>
            <w:r w:rsidR="000B13A7">
              <w:rPr>
                <w:rFonts w:cs="Arial"/>
                <w:sz w:val="20"/>
              </w:rPr>
              <w:t xml:space="preserve"> for the Regulator to undertake its mandate. However, we do have some concerns that this process provides only a limited form of accountability and does little to address the inherent power imbalance which exists between landlords and tenants.</w:t>
            </w:r>
            <w:r w:rsidR="00CF773F">
              <w:rPr>
                <w:rFonts w:cs="Arial"/>
                <w:sz w:val="20"/>
              </w:rPr>
              <w:t xml:space="preserve"> We recognise that there are some safeguards </w:t>
            </w:r>
            <w:r w:rsidR="00827534">
              <w:rPr>
                <w:rFonts w:cs="Arial"/>
                <w:sz w:val="20"/>
              </w:rPr>
              <w:t>in place to address this</w:t>
            </w:r>
            <w:r w:rsidR="00E81A4C">
              <w:rPr>
                <w:rFonts w:cs="Arial"/>
                <w:sz w:val="20"/>
              </w:rPr>
              <w:t>, for example the ability of tenants to raise a Significant Performance Failure with the Regulator</w:t>
            </w:r>
            <w:r w:rsidR="00827534">
              <w:rPr>
                <w:rFonts w:cs="Arial"/>
                <w:sz w:val="20"/>
              </w:rPr>
              <w:t>. However</w:t>
            </w:r>
            <w:r w:rsidR="00C818E7">
              <w:rPr>
                <w:rFonts w:cs="Arial"/>
                <w:sz w:val="20"/>
              </w:rPr>
              <w:t>,</w:t>
            </w:r>
            <w:r w:rsidR="00E81A4C">
              <w:rPr>
                <w:rFonts w:cs="Arial"/>
                <w:sz w:val="20"/>
              </w:rPr>
              <w:t xml:space="preserve"> as it stands</w:t>
            </w:r>
            <w:r w:rsidR="00C818E7">
              <w:rPr>
                <w:rFonts w:cs="Arial"/>
                <w:sz w:val="20"/>
              </w:rPr>
              <w:t xml:space="preserve"> there </w:t>
            </w:r>
            <w:r>
              <w:rPr>
                <w:rFonts w:cs="Arial"/>
                <w:sz w:val="20"/>
              </w:rPr>
              <w:t xml:space="preserve">are no </w:t>
            </w:r>
            <w:r w:rsidRPr="00E81A4C">
              <w:rPr>
                <w:rFonts w:cs="Arial"/>
                <w:b/>
                <w:sz w:val="20"/>
              </w:rPr>
              <w:t>systematic</w:t>
            </w:r>
            <w:r>
              <w:rPr>
                <w:rFonts w:cs="Arial"/>
                <w:sz w:val="20"/>
              </w:rPr>
              <w:t xml:space="preserve"> opportunities</w:t>
            </w:r>
            <w:r w:rsidR="00C818E7">
              <w:rPr>
                <w:rFonts w:cs="Arial"/>
                <w:sz w:val="20"/>
              </w:rPr>
              <w:t xml:space="preserve"> for tenants to test and validate the land</w:t>
            </w:r>
            <w:r>
              <w:rPr>
                <w:rFonts w:cs="Arial"/>
                <w:sz w:val="20"/>
              </w:rPr>
              <w:t>lord’s findings</w:t>
            </w:r>
            <w:r w:rsidR="00CF773F">
              <w:rPr>
                <w:rFonts w:cs="Arial"/>
                <w:sz w:val="20"/>
              </w:rPr>
              <w:t xml:space="preserve"> within its Assurance Statement</w:t>
            </w:r>
            <w:r>
              <w:rPr>
                <w:rFonts w:cs="Arial"/>
                <w:sz w:val="20"/>
              </w:rPr>
              <w:t xml:space="preserve"> in a meaningful way.</w:t>
            </w:r>
            <w:r w:rsidR="00C818E7">
              <w:rPr>
                <w:rFonts w:cs="Arial"/>
                <w:sz w:val="20"/>
              </w:rPr>
              <w:t xml:space="preserve"> The Commission is of the view that this added step would both increase participation and empowerment of tenants, enable landlords and tenants to celebrate successes, but also provide a further avenue for tenants to hold thei</w:t>
            </w:r>
            <w:r>
              <w:rPr>
                <w:rFonts w:cs="Arial"/>
                <w:sz w:val="20"/>
              </w:rPr>
              <w:t>r</w:t>
            </w:r>
            <w:r w:rsidR="00C818E7">
              <w:rPr>
                <w:rFonts w:cs="Arial"/>
                <w:sz w:val="20"/>
              </w:rPr>
              <w:t xml:space="preserve"> landlord to account in a meaningful way.</w:t>
            </w:r>
            <w:r w:rsidR="00827534">
              <w:rPr>
                <w:rFonts w:cs="Arial"/>
                <w:sz w:val="20"/>
              </w:rPr>
              <w:t xml:space="preserve"> </w:t>
            </w:r>
          </w:p>
          <w:p w14:paraId="68F46B5D" w14:textId="4B59CB16" w:rsidR="00827534" w:rsidRDefault="00827534" w:rsidP="005321B6">
            <w:pPr>
              <w:rPr>
                <w:rFonts w:cs="Arial"/>
                <w:sz w:val="20"/>
              </w:rPr>
            </w:pPr>
          </w:p>
          <w:p w14:paraId="4D74D598" w14:textId="43F28571" w:rsidR="00827534" w:rsidRPr="00827534" w:rsidRDefault="00827534" w:rsidP="00827534">
            <w:pPr>
              <w:rPr>
                <w:rFonts w:cs="Arial"/>
                <w:sz w:val="20"/>
              </w:rPr>
            </w:pPr>
            <w:r w:rsidRPr="00827534">
              <w:rPr>
                <w:rFonts w:cs="Arial"/>
                <w:sz w:val="20"/>
              </w:rPr>
              <w:t xml:space="preserve">Currently the Regulator is proposing that Annual Assurance Statements should include statements to the effect that “we comply with our legal obligations relating to housing and homelessness, equality and human rights, and tenant and resident safety” or “We comply with all but the following legal obligations relating to housing and homelessness, equality and human rights, and tenant and resident safety.” While the Commission appreciates that the great majority of landlords will undertake self-assurance in the spirit in which it is intended, we are of the view that it would be extremely unlikely that a landlord would openly declare that they were acting in contravention of equality and human rights law. We also </w:t>
            </w:r>
            <w:r w:rsidR="000966BF">
              <w:rPr>
                <w:rFonts w:cs="Arial"/>
                <w:sz w:val="20"/>
              </w:rPr>
              <w:t>suggest</w:t>
            </w:r>
            <w:r w:rsidRPr="00827534">
              <w:rPr>
                <w:rFonts w:cs="Arial"/>
                <w:sz w:val="20"/>
              </w:rPr>
              <w:t xml:space="preserve"> that this kind of statement encourages a ‘minimum compliance’ rather than a ‘best practice’ approach. We would advocate instead for a broader statement based on a self-assessment against </w:t>
            </w:r>
            <w:r>
              <w:rPr>
                <w:rFonts w:cs="Arial"/>
                <w:sz w:val="20"/>
              </w:rPr>
              <w:t xml:space="preserve">the set of </w:t>
            </w:r>
            <w:r w:rsidRPr="00827534">
              <w:rPr>
                <w:rFonts w:cs="Arial"/>
                <w:sz w:val="20"/>
              </w:rPr>
              <w:t>human rights norms and standards</w:t>
            </w:r>
            <w:r w:rsidR="000966BF">
              <w:rPr>
                <w:rFonts w:cs="Arial"/>
                <w:sz w:val="20"/>
              </w:rPr>
              <w:t xml:space="preserve"> from General Comment 4</w:t>
            </w:r>
            <w:r>
              <w:rPr>
                <w:rFonts w:cs="Arial"/>
                <w:sz w:val="20"/>
              </w:rPr>
              <w:t xml:space="preserve"> outlined in our response to Question 1.  </w:t>
            </w:r>
            <w:r w:rsidRPr="00827534">
              <w:rPr>
                <w:rFonts w:cs="Arial"/>
                <w:sz w:val="20"/>
              </w:rPr>
              <w:t>Many of these elements are acknowledged within human rights law to be ‘progressively realised’ – that is that the required structural and financial investment may be a process which takes place over time, and that is likely to be acceptable under human rights law.  For a landlord to acknowledge that they require to make some improvements in order that tenants’ rights to housing are realised is a more robust, accurate and accountable form of assurance than w</w:t>
            </w:r>
            <w:r w:rsidR="000966BF">
              <w:rPr>
                <w:rFonts w:cs="Arial"/>
                <w:sz w:val="20"/>
              </w:rPr>
              <w:t>hat is currently being proposed.</w:t>
            </w:r>
          </w:p>
          <w:p w14:paraId="615E9B81" w14:textId="3177F47E" w:rsidR="00164122" w:rsidRPr="000966BF" w:rsidRDefault="00827534" w:rsidP="00562485">
            <w:pPr>
              <w:rPr>
                <w:rFonts w:cs="Arial"/>
                <w:sz w:val="20"/>
              </w:rPr>
            </w:pPr>
            <w:r w:rsidRPr="00827534">
              <w:rPr>
                <w:rFonts w:cs="Arial"/>
                <w:sz w:val="20"/>
              </w:rPr>
              <w:lastRenderedPageBreak/>
              <w:t xml:space="preserve">    </w:t>
            </w:r>
          </w:p>
        </w:tc>
      </w:tr>
    </w:tbl>
    <w:p w14:paraId="31D580DA" w14:textId="77777777" w:rsidR="00164122" w:rsidRDefault="00164122" w:rsidP="002C0C6C">
      <w:pPr>
        <w:rPr>
          <w:sz w:val="22"/>
          <w:szCs w:val="22"/>
        </w:rPr>
      </w:pPr>
    </w:p>
    <w:p w14:paraId="66BCEFE7" w14:textId="77777777" w:rsidR="00164122" w:rsidRPr="00886EC9" w:rsidRDefault="002C0C6C" w:rsidP="002C0C6C">
      <w:r w:rsidRPr="00886EC9">
        <w:t>9</w:t>
      </w:r>
      <w:r w:rsidR="004B7B33">
        <w:t>.</w:t>
      </w:r>
      <w:r w:rsidRPr="00886EC9">
        <w:t xml:space="preserve"> Is our approach to risk assessment right?</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164122" w:rsidRPr="0073182D" w14:paraId="03F2D2F1" w14:textId="77777777" w:rsidTr="004D48A8">
        <w:trPr>
          <w:trHeight w:val="346"/>
        </w:trPr>
        <w:tc>
          <w:tcPr>
            <w:tcW w:w="9190" w:type="dxa"/>
            <w:vAlign w:val="center"/>
          </w:tcPr>
          <w:p w14:paraId="794C6068" w14:textId="77777777" w:rsidR="00164122" w:rsidRPr="00E1544E" w:rsidRDefault="00164122" w:rsidP="00562485">
            <w:pPr>
              <w:rPr>
                <w:rFonts w:cs="Arial"/>
                <w:sz w:val="20"/>
              </w:rPr>
            </w:pPr>
            <w:r w:rsidRPr="00E1544E">
              <w:rPr>
                <w:rFonts w:cs="Arial"/>
                <w:sz w:val="20"/>
              </w:rPr>
              <w:fldChar w:fldCharType="begin">
                <w:ffData>
                  <w:name w:val="Text3"/>
                  <w:enabled/>
                  <w:calcOnExit w:val="0"/>
                  <w:textInput/>
                </w:ffData>
              </w:fldChar>
            </w:r>
            <w:r w:rsidRPr="00E1544E">
              <w:rPr>
                <w:rFonts w:cs="Arial"/>
                <w:sz w:val="20"/>
              </w:rPr>
              <w:instrText xml:space="preserve"> FORMTEXT </w:instrText>
            </w:r>
            <w:r w:rsidRPr="00E1544E">
              <w:rPr>
                <w:rFonts w:cs="Arial"/>
                <w:sz w:val="20"/>
              </w:rPr>
            </w:r>
            <w:r w:rsidRPr="00E1544E">
              <w:rPr>
                <w:rFonts w:cs="Arial"/>
                <w:sz w:val="20"/>
              </w:rPr>
              <w:fldChar w:fldCharType="separate"/>
            </w:r>
            <w:r w:rsidRPr="00E1544E">
              <w:rPr>
                <w:rFonts w:cs="Arial"/>
                <w:noProof/>
                <w:sz w:val="20"/>
              </w:rPr>
              <w:t> </w:t>
            </w:r>
            <w:r w:rsidRPr="00E1544E">
              <w:rPr>
                <w:rFonts w:cs="Arial"/>
                <w:noProof/>
                <w:sz w:val="20"/>
              </w:rPr>
              <w:t> </w:t>
            </w:r>
            <w:r w:rsidRPr="00E1544E">
              <w:rPr>
                <w:rFonts w:cs="Arial"/>
                <w:noProof/>
                <w:sz w:val="20"/>
              </w:rPr>
              <w:t> </w:t>
            </w:r>
            <w:r w:rsidRPr="00E1544E">
              <w:rPr>
                <w:rFonts w:cs="Arial"/>
                <w:noProof/>
                <w:sz w:val="20"/>
              </w:rPr>
              <w:t> </w:t>
            </w:r>
            <w:r w:rsidRPr="00E1544E">
              <w:rPr>
                <w:rFonts w:cs="Arial"/>
                <w:noProof/>
                <w:sz w:val="20"/>
              </w:rPr>
              <w:t> </w:t>
            </w:r>
            <w:r w:rsidRPr="00E1544E">
              <w:rPr>
                <w:rFonts w:cs="Arial"/>
                <w:sz w:val="20"/>
              </w:rPr>
              <w:fldChar w:fldCharType="end"/>
            </w:r>
          </w:p>
          <w:p w14:paraId="021B80C7" w14:textId="77777777" w:rsidR="00164122" w:rsidRPr="0073182D" w:rsidRDefault="00164122" w:rsidP="00562485">
            <w:pPr>
              <w:rPr>
                <w:rFonts w:cs="Arial"/>
                <w:sz w:val="20"/>
                <w:highlight w:val="yellow"/>
              </w:rPr>
            </w:pPr>
          </w:p>
          <w:p w14:paraId="742803AB" w14:textId="77777777" w:rsidR="00164122" w:rsidRPr="0073182D" w:rsidRDefault="00164122" w:rsidP="00562485">
            <w:pPr>
              <w:rPr>
                <w:rFonts w:cs="Arial"/>
                <w:sz w:val="20"/>
                <w:highlight w:val="yellow"/>
              </w:rPr>
            </w:pPr>
          </w:p>
          <w:p w14:paraId="3E21ABDD" w14:textId="77777777" w:rsidR="00164122" w:rsidRPr="0073182D" w:rsidRDefault="00164122" w:rsidP="00562485">
            <w:pPr>
              <w:rPr>
                <w:rFonts w:cs="Arial"/>
                <w:sz w:val="20"/>
                <w:highlight w:val="yellow"/>
              </w:rPr>
            </w:pPr>
          </w:p>
          <w:p w14:paraId="2CCB07B1" w14:textId="77777777" w:rsidR="00164122" w:rsidRPr="0073182D" w:rsidRDefault="00164122" w:rsidP="00562485">
            <w:pPr>
              <w:rPr>
                <w:rFonts w:cs="Arial"/>
                <w:sz w:val="20"/>
                <w:highlight w:val="yellow"/>
              </w:rPr>
            </w:pPr>
          </w:p>
        </w:tc>
      </w:tr>
    </w:tbl>
    <w:p w14:paraId="15931F86" w14:textId="77777777" w:rsidR="002C0C6C" w:rsidRDefault="002C0C6C" w:rsidP="002C0C6C">
      <w:pPr>
        <w:rPr>
          <w:sz w:val="22"/>
          <w:szCs w:val="22"/>
        </w:rPr>
      </w:pPr>
    </w:p>
    <w:p w14:paraId="482D2575" w14:textId="77777777" w:rsidR="002C0C6C" w:rsidRPr="00886EC9" w:rsidRDefault="002C0C6C" w:rsidP="002C0C6C">
      <w:r w:rsidRPr="00886EC9">
        <w:t>1</w:t>
      </w:r>
      <w:r w:rsidR="004D48A8">
        <w:t>0</w:t>
      </w:r>
      <w:r w:rsidR="00E82FF6">
        <w:t>.</w:t>
      </w:r>
      <w:r w:rsidRPr="00886EC9">
        <w:t xml:space="preserve"> Should we publish a regulatory status for each RSL as we propose?</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164122" w:rsidRPr="0073182D" w14:paraId="3E851571" w14:textId="77777777" w:rsidTr="004D48A8">
        <w:trPr>
          <w:trHeight w:val="346"/>
        </w:trPr>
        <w:tc>
          <w:tcPr>
            <w:tcW w:w="9190" w:type="dxa"/>
            <w:vAlign w:val="center"/>
          </w:tcPr>
          <w:p w14:paraId="0702C1D0" w14:textId="1BC8E582" w:rsidR="00164122" w:rsidRPr="00886EC9" w:rsidRDefault="003C6EF9" w:rsidP="00562485">
            <w:r>
              <w:t>The Commission agrees with this proposal.</w:t>
            </w:r>
          </w:p>
          <w:p w14:paraId="0FD206E8" w14:textId="77777777" w:rsidR="00164122" w:rsidRPr="00886EC9" w:rsidRDefault="00164122" w:rsidP="00562485"/>
          <w:p w14:paraId="075FAA8E" w14:textId="77777777" w:rsidR="00164122" w:rsidRPr="00886EC9" w:rsidRDefault="00164122" w:rsidP="00562485"/>
          <w:p w14:paraId="7C1ECCDE" w14:textId="77777777" w:rsidR="00164122" w:rsidRPr="00886EC9" w:rsidRDefault="00164122" w:rsidP="00562485"/>
          <w:p w14:paraId="44A66532" w14:textId="77777777" w:rsidR="00164122" w:rsidRPr="00886EC9" w:rsidRDefault="00164122" w:rsidP="00562485"/>
        </w:tc>
      </w:tr>
    </w:tbl>
    <w:p w14:paraId="12946792" w14:textId="77777777" w:rsidR="00164122" w:rsidRPr="00886EC9" w:rsidRDefault="00164122" w:rsidP="002C0C6C"/>
    <w:p w14:paraId="62560582" w14:textId="77777777" w:rsidR="00CF3A1E" w:rsidRPr="00886EC9" w:rsidRDefault="002C0C6C" w:rsidP="002C0C6C">
      <w:r w:rsidRPr="00886EC9">
        <w:t>11</w:t>
      </w:r>
      <w:r w:rsidR="004B7B33">
        <w:t>.</w:t>
      </w:r>
      <w:r w:rsidRPr="00886EC9">
        <w:t xml:space="preserve"> Is it right that we publish an Engagement Plan for every landlord?</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CF3A1E" w:rsidRPr="0073182D" w14:paraId="0BE4487F" w14:textId="77777777" w:rsidTr="004D48A8">
        <w:trPr>
          <w:trHeight w:val="346"/>
        </w:trPr>
        <w:tc>
          <w:tcPr>
            <w:tcW w:w="9190" w:type="dxa"/>
            <w:vAlign w:val="center"/>
          </w:tcPr>
          <w:p w14:paraId="191E3248" w14:textId="094F326C" w:rsidR="00CF3A1E" w:rsidRPr="00886EC9" w:rsidRDefault="003C6EF9" w:rsidP="00562485">
            <w:r>
              <w:t>The Commission agrees with this proposal.</w:t>
            </w:r>
          </w:p>
          <w:p w14:paraId="367BB6C5" w14:textId="77777777" w:rsidR="00CF3A1E" w:rsidRPr="00886EC9" w:rsidRDefault="00CF3A1E" w:rsidP="00562485"/>
          <w:p w14:paraId="431F6966" w14:textId="77777777" w:rsidR="00CF3A1E" w:rsidRPr="00886EC9" w:rsidRDefault="00CF3A1E" w:rsidP="00562485"/>
          <w:p w14:paraId="271B52FC" w14:textId="77777777" w:rsidR="00CF3A1E" w:rsidRPr="00886EC9" w:rsidRDefault="00CF3A1E" w:rsidP="00562485"/>
          <w:p w14:paraId="5E4B5AB9" w14:textId="77777777" w:rsidR="00CF3A1E" w:rsidRPr="00886EC9" w:rsidRDefault="00CF3A1E" w:rsidP="00562485"/>
        </w:tc>
      </w:tr>
    </w:tbl>
    <w:p w14:paraId="4FBDE915" w14:textId="77777777" w:rsidR="002C0C6C" w:rsidRPr="00886EC9" w:rsidRDefault="002C0C6C" w:rsidP="002C0C6C"/>
    <w:p w14:paraId="43A3A644" w14:textId="77777777" w:rsidR="00CF3A1E" w:rsidRPr="00886EC9" w:rsidRDefault="004B7B33" w:rsidP="004D48A8">
      <w:pPr>
        <w:jc w:val="left"/>
      </w:pPr>
      <w:r>
        <w:t>1</w:t>
      </w:r>
      <w:r w:rsidR="002C0C6C" w:rsidRPr="00886EC9">
        <w:t>2</w:t>
      </w:r>
      <w:r>
        <w:t>.</w:t>
      </w:r>
      <w:r w:rsidR="002C0C6C" w:rsidRPr="00886EC9">
        <w:t xml:space="preserve"> Would you like to make any other comments or suggestions about our approach to getting assurance?</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CF3A1E" w:rsidRPr="0073182D" w14:paraId="5C05EBDF" w14:textId="77777777" w:rsidTr="004D48A8">
        <w:trPr>
          <w:trHeight w:val="346"/>
        </w:trPr>
        <w:tc>
          <w:tcPr>
            <w:tcW w:w="9190" w:type="dxa"/>
            <w:vAlign w:val="center"/>
          </w:tcPr>
          <w:p w14:paraId="782E5E29" w14:textId="77777777" w:rsidR="00CF3A1E" w:rsidRPr="00886EC9" w:rsidRDefault="00CF3A1E" w:rsidP="00562485">
            <w:r w:rsidRPr="00886EC9">
              <w:fldChar w:fldCharType="begin">
                <w:ffData>
                  <w:name w:val="Text3"/>
                  <w:enabled/>
                  <w:calcOnExit w:val="0"/>
                  <w:textInput/>
                </w:ffData>
              </w:fldChar>
            </w:r>
            <w:r w:rsidRPr="00886EC9">
              <w:instrText xml:space="preserve"> FORMTEXT </w:instrText>
            </w:r>
            <w:r w:rsidRPr="00886EC9">
              <w:fldChar w:fldCharType="separate"/>
            </w:r>
            <w:r w:rsidRPr="00886EC9">
              <w:t> </w:t>
            </w:r>
            <w:r w:rsidRPr="00886EC9">
              <w:t> </w:t>
            </w:r>
            <w:r w:rsidRPr="00886EC9">
              <w:t> </w:t>
            </w:r>
            <w:r w:rsidRPr="00886EC9">
              <w:t> </w:t>
            </w:r>
            <w:r w:rsidRPr="00886EC9">
              <w:t> </w:t>
            </w:r>
            <w:r w:rsidRPr="00886EC9">
              <w:fldChar w:fldCharType="end"/>
            </w:r>
          </w:p>
          <w:p w14:paraId="25DF3478" w14:textId="77777777" w:rsidR="00CF3A1E" w:rsidRPr="00886EC9" w:rsidRDefault="00CF3A1E" w:rsidP="00562485"/>
          <w:p w14:paraId="7EECB6E2" w14:textId="77777777" w:rsidR="00CF3A1E" w:rsidRPr="00886EC9" w:rsidRDefault="00CF3A1E" w:rsidP="00562485"/>
          <w:p w14:paraId="5A30ED64" w14:textId="77777777" w:rsidR="00CF3A1E" w:rsidRPr="00886EC9" w:rsidRDefault="00CF3A1E" w:rsidP="00562485"/>
          <w:p w14:paraId="221007BF" w14:textId="77777777" w:rsidR="00CF3A1E" w:rsidRPr="00886EC9" w:rsidRDefault="00CF3A1E" w:rsidP="00562485"/>
        </w:tc>
      </w:tr>
    </w:tbl>
    <w:p w14:paraId="6A36C0C5" w14:textId="77777777" w:rsidR="00920A53" w:rsidRDefault="00920A53" w:rsidP="002C0C6C"/>
    <w:p w14:paraId="518E41F2" w14:textId="77777777" w:rsidR="00CF3A1E" w:rsidRPr="00886EC9" w:rsidRDefault="004B7B33" w:rsidP="002C0C6C">
      <w:r>
        <w:t>1</w:t>
      </w:r>
      <w:r w:rsidR="002C0C6C" w:rsidRPr="00886EC9">
        <w:t>3</w:t>
      </w:r>
      <w:r>
        <w:t>.</w:t>
      </w:r>
      <w:r w:rsidR="002C0C6C" w:rsidRPr="00886EC9">
        <w:t xml:space="preserve"> Is the approach set out in Chapter 6 right? Any other comments?</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CF3A1E" w:rsidRPr="0073182D" w14:paraId="719EA09B" w14:textId="77777777" w:rsidTr="004D48A8">
        <w:trPr>
          <w:trHeight w:val="346"/>
        </w:trPr>
        <w:tc>
          <w:tcPr>
            <w:tcW w:w="9190" w:type="dxa"/>
            <w:vAlign w:val="center"/>
          </w:tcPr>
          <w:p w14:paraId="5984CED5" w14:textId="393AFAFF" w:rsidR="00CF3A1E" w:rsidRDefault="000966BF" w:rsidP="00562485">
            <w:r>
              <w:t xml:space="preserve">The Commission welcomes the Regulator’s approach set out within Chapter 6. However, we would note </w:t>
            </w:r>
            <w:r w:rsidR="001F5B8E">
              <w:t xml:space="preserve">that an analysis of how people’s human rights are affected </w:t>
            </w:r>
            <w:r>
              <w:t>could add value to the Regulator’s decision making process as to whether and how to intervene. For example, if the realisation of tenants’ r</w:t>
            </w:r>
            <w:r w:rsidR="001F5B8E">
              <w:t>ight to housing was jeopardised by the actions or omissions of a landlord</w:t>
            </w:r>
            <w:r>
              <w:t>, this could</w:t>
            </w:r>
            <w:r w:rsidR="001F5B8E">
              <w:t xml:space="preserve"> inform the Regulator’s decision as the seriousness or significance of a problem and therefore which of its powers may best be put into place to resolve the issue.</w:t>
            </w:r>
          </w:p>
          <w:p w14:paraId="26BBD870" w14:textId="7F4AEBE0" w:rsidR="001F5B8E" w:rsidRDefault="001F5B8E" w:rsidP="00562485"/>
          <w:p w14:paraId="7847DB4B" w14:textId="6F8DC8B3" w:rsidR="001F5B8E" w:rsidRPr="00886EC9" w:rsidRDefault="001F5B8E" w:rsidP="00562485">
            <w:r>
              <w:t>In addition, the Commission notes that the definition of a significant performance failure includes circumstances where a landlord ‘consistently and</w:t>
            </w:r>
            <w:r w:rsidR="001E46B4">
              <w:t xml:space="preserve"> repeatedly fails to achieve outcomes in the SSHC or those locally agreed with tenants.’ The implication of this is that quite a considerable period of time might elapse before tenants could demonstrate that a Significant Performance Failure was or had taken place, which may imply a long gap in accountability.</w:t>
            </w:r>
          </w:p>
          <w:p w14:paraId="5DD5E427" w14:textId="5573CB3E" w:rsidR="00CF3A1E" w:rsidRPr="00886EC9" w:rsidRDefault="00CF3A1E" w:rsidP="00562485"/>
        </w:tc>
      </w:tr>
    </w:tbl>
    <w:p w14:paraId="05738192" w14:textId="6DB63F25" w:rsidR="00920A53" w:rsidRDefault="00920A53" w:rsidP="002C0C6C"/>
    <w:p w14:paraId="3B3E7616" w14:textId="77777777" w:rsidR="00920A53" w:rsidRDefault="00920A53" w:rsidP="002C0C6C"/>
    <w:p w14:paraId="6644FEBC" w14:textId="77777777" w:rsidR="00CF3A1E" w:rsidRPr="00886EC9" w:rsidRDefault="002C0C6C" w:rsidP="002C0C6C">
      <w:r w:rsidRPr="00886EC9">
        <w:t>14</w:t>
      </w:r>
      <w:r w:rsidR="004B7B33">
        <w:t>.</w:t>
      </w:r>
      <w:r w:rsidRPr="00886EC9">
        <w:t xml:space="preserve"> Is the approach set out in Chapter 7 right? Any other comments?</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CF3A1E" w:rsidRPr="0073182D" w14:paraId="471FBDD2" w14:textId="77777777" w:rsidTr="004D48A8">
        <w:trPr>
          <w:trHeight w:val="346"/>
        </w:trPr>
        <w:tc>
          <w:tcPr>
            <w:tcW w:w="9190" w:type="dxa"/>
            <w:vAlign w:val="center"/>
          </w:tcPr>
          <w:p w14:paraId="2864D8E1" w14:textId="602B3DF0" w:rsidR="00E16E26" w:rsidRPr="00886EC9" w:rsidRDefault="00E16E26" w:rsidP="00E16E26">
            <w:r>
              <w:t>The Commission welcomes the approach set out in Chapter 7</w:t>
            </w:r>
            <w:r w:rsidR="0006681C">
              <w:t xml:space="preserve">. We would advocate that internationally agreed norms and standards in relation to the </w:t>
            </w:r>
            <w:r>
              <w:t xml:space="preserve">right to housing, as </w:t>
            </w:r>
            <w:r>
              <w:lastRenderedPageBreak/>
              <w:t xml:space="preserve">set out in </w:t>
            </w:r>
            <w:r w:rsidR="0006681C">
              <w:t>General Comment 4</w:t>
            </w:r>
            <w:r>
              <w:t xml:space="preserve">, are a useful basis upon which to undertake a range of thematic inquiries. For example, </w:t>
            </w:r>
            <w:hyperlink r:id="rId15" w:history="1">
              <w:r w:rsidRPr="00466A11">
                <w:rPr>
                  <w:rStyle w:val="Hyperlink"/>
                </w:rPr>
                <w:t>in our own work on the right to housing</w:t>
              </w:r>
            </w:hyperlink>
            <w:r>
              <w:t xml:space="preserve">, we have found that </w:t>
            </w:r>
            <w:hyperlink r:id="rId16" w:history="1">
              <w:r w:rsidRPr="00466A11">
                <w:rPr>
                  <w:rStyle w:val="Hyperlink"/>
                </w:rPr>
                <w:t>issues of habitability have been at the forefront of tenants’ experiences</w:t>
              </w:r>
            </w:hyperlink>
            <w:r>
              <w:t xml:space="preserve"> and yet it has been difficult for tenants to achieve redress for these. It is our view that the conditions faced by the group of people we support in Edinburgh are likely to be common, and that tenants across Scotland will face similar barriers to drawing attention to these, getting investment and repairs and holding public authority landlords to account for poor conditions in an environment of austerity budgets.</w:t>
            </w:r>
          </w:p>
          <w:p w14:paraId="7DA0CD5E" w14:textId="7095549A" w:rsidR="00CF3A1E" w:rsidRPr="00886EC9" w:rsidRDefault="00CF3A1E" w:rsidP="00562485"/>
          <w:p w14:paraId="1CF39174" w14:textId="77777777" w:rsidR="00CF3A1E" w:rsidRPr="00886EC9" w:rsidRDefault="00CF3A1E" w:rsidP="00562485"/>
        </w:tc>
      </w:tr>
    </w:tbl>
    <w:p w14:paraId="27C20159" w14:textId="77777777" w:rsidR="002C0C6C" w:rsidRPr="00886EC9" w:rsidRDefault="002C0C6C" w:rsidP="00EF523B"/>
    <w:p w14:paraId="58BA87ED" w14:textId="77777777" w:rsidR="002C0C6C" w:rsidRPr="00886EC9" w:rsidRDefault="002C0C6C" w:rsidP="002C0C6C">
      <w:r w:rsidRPr="00886EC9">
        <w:t>15</w:t>
      </w:r>
      <w:r w:rsidR="004B7B33">
        <w:t>.</w:t>
      </w:r>
      <w:r w:rsidRPr="00886EC9">
        <w:t xml:space="preserve"> Is the approach set out in Chapter 8 right? Any other comments?</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CF3A1E" w:rsidRPr="0073182D" w14:paraId="28EE06BB" w14:textId="77777777" w:rsidTr="004D48A8">
        <w:trPr>
          <w:trHeight w:val="346"/>
        </w:trPr>
        <w:tc>
          <w:tcPr>
            <w:tcW w:w="9190" w:type="dxa"/>
            <w:vAlign w:val="center"/>
          </w:tcPr>
          <w:p w14:paraId="4319EC13" w14:textId="77777777" w:rsidR="00CF3A1E" w:rsidRPr="00886EC9" w:rsidRDefault="00CF3A1E" w:rsidP="00562485"/>
          <w:p w14:paraId="54826F44" w14:textId="77777777" w:rsidR="00CF3A1E" w:rsidRPr="00886EC9" w:rsidRDefault="00CF3A1E" w:rsidP="00562485"/>
          <w:p w14:paraId="2AF35FCB" w14:textId="77777777" w:rsidR="00CF3A1E" w:rsidRPr="00886EC9" w:rsidRDefault="00CF3A1E" w:rsidP="00562485"/>
          <w:p w14:paraId="55AEAB4A" w14:textId="77777777" w:rsidR="00CF3A1E" w:rsidRPr="00886EC9" w:rsidRDefault="00CF3A1E" w:rsidP="00562485"/>
        </w:tc>
      </w:tr>
    </w:tbl>
    <w:p w14:paraId="4E850D66" w14:textId="77777777" w:rsidR="00CF3A1E" w:rsidRPr="00886EC9" w:rsidRDefault="00CF3A1E" w:rsidP="00EF523B"/>
    <w:p w14:paraId="615FD73F" w14:textId="77777777" w:rsidR="002C0C6C" w:rsidRPr="00886EC9" w:rsidRDefault="002C0C6C" w:rsidP="002C0C6C">
      <w:r w:rsidRPr="00886EC9">
        <w:t>16</w:t>
      </w:r>
      <w:r w:rsidR="004B7B33">
        <w:t>.</w:t>
      </w:r>
      <w:r w:rsidRPr="00886EC9">
        <w:t xml:space="preserve"> Are these registration and de-registration criteria the right ones? Any other comments?</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CF3A1E" w:rsidRPr="0073182D" w14:paraId="7BCC0807" w14:textId="77777777" w:rsidTr="004D48A8">
        <w:trPr>
          <w:trHeight w:val="346"/>
        </w:trPr>
        <w:tc>
          <w:tcPr>
            <w:tcW w:w="9190" w:type="dxa"/>
            <w:vAlign w:val="center"/>
          </w:tcPr>
          <w:p w14:paraId="34D179E2" w14:textId="77777777" w:rsidR="00CF3A1E" w:rsidRPr="00886EC9" w:rsidRDefault="00CF3A1E" w:rsidP="00562485">
            <w:r w:rsidRPr="00886EC9">
              <w:fldChar w:fldCharType="begin">
                <w:ffData>
                  <w:name w:val="Text3"/>
                  <w:enabled/>
                  <w:calcOnExit w:val="0"/>
                  <w:textInput/>
                </w:ffData>
              </w:fldChar>
            </w:r>
            <w:r w:rsidRPr="00886EC9">
              <w:instrText xml:space="preserve"> FORMTEXT </w:instrText>
            </w:r>
            <w:r w:rsidRPr="00886EC9">
              <w:fldChar w:fldCharType="separate"/>
            </w:r>
            <w:r w:rsidRPr="00886EC9">
              <w:t> </w:t>
            </w:r>
            <w:r w:rsidRPr="00886EC9">
              <w:t> </w:t>
            </w:r>
            <w:r w:rsidRPr="00886EC9">
              <w:t> </w:t>
            </w:r>
            <w:r w:rsidRPr="00886EC9">
              <w:t> </w:t>
            </w:r>
            <w:r w:rsidRPr="00886EC9">
              <w:t> </w:t>
            </w:r>
            <w:r w:rsidRPr="00886EC9">
              <w:fldChar w:fldCharType="end"/>
            </w:r>
          </w:p>
          <w:p w14:paraId="633D9F74" w14:textId="77777777" w:rsidR="00CF3A1E" w:rsidRPr="00886EC9" w:rsidRDefault="00CF3A1E" w:rsidP="00562485"/>
          <w:p w14:paraId="4E1B0280" w14:textId="77777777" w:rsidR="00CF3A1E" w:rsidRPr="00886EC9" w:rsidRDefault="00CF3A1E" w:rsidP="00562485"/>
          <w:p w14:paraId="7D3BCEC6" w14:textId="77777777" w:rsidR="00CF3A1E" w:rsidRPr="00886EC9" w:rsidRDefault="00CF3A1E" w:rsidP="00562485"/>
          <w:p w14:paraId="7A787FCE" w14:textId="77777777" w:rsidR="00CF3A1E" w:rsidRPr="00886EC9" w:rsidRDefault="00CF3A1E" w:rsidP="00562485"/>
        </w:tc>
      </w:tr>
    </w:tbl>
    <w:p w14:paraId="5D5D0108" w14:textId="77777777" w:rsidR="00CF3A1E" w:rsidRPr="00886EC9" w:rsidRDefault="00CF3A1E" w:rsidP="00EF523B"/>
    <w:p w14:paraId="53FD7FEC" w14:textId="77777777" w:rsidR="00164122" w:rsidRPr="00886EC9" w:rsidRDefault="004B7B33" w:rsidP="00164122">
      <w:r>
        <w:t>1</w:t>
      </w:r>
      <w:r w:rsidR="00164122" w:rsidRPr="00886EC9">
        <w:t>7</w:t>
      </w:r>
      <w:r>
        <w:t>.</w:t>
      </w:r>
      <w:r w:rsidR="00164122" w:rsidRPr="00886EC9">
        <w:t xml:space="preserve"> Do you have any feedback on the draft Assurance Statement guidance?</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CF3A1E" w:rsidRPr="0073182D" w14:paraId="3B6E85D5" w14:textId="77777777" w:rsidTr="004D48A8">
        <w:trPr>
          <w:trHeight w:val="346"/>
        </w:trPr>
        <w:tc>
          <w:tcPr>
            <w:tcW w:w="9190" w:type="dxa"/>
            <w:vAlign w:val="center"/>
          </w:tcPr>
          <w:p w14:paraId="3F216FC7" w14:textId="288623C3" w:rsidR="00CF3A1E" w:rsidRPr="00886EC9" w:rsidRDefault="00CF3A1E" w:rsidP="00562485"/>
          <w:p w14:paraId="00CA067B" w14:textId="77777777" w:rsidR="00CF3A1E" w:rsidRPr="00886EC9" w:rsidRDefault="00CF3A1E" w:rsidP="00562485"/>
          <w:p w14:paraId="61674059" w14:textId="77777777" w:rsidR="00CF3A1E" w:rsidRPr="00886EC9" w:rsidRDefault="00CF3A1E" w:rsidP="00562485"/>
          <w:p w14:paraId="511C81DB" w14:textId="77777777" w:rsidR="00CF3A1E" w:rsidRPr="00886EC9" w:rsidRDefault="00CF3A1E" w:rsidP="00562485"/>
          <w:p w14:paraId="4DAE8699" w14:textId="77777777" w:rsidR="00CF3A1E" w:rsidRPr="00886EC9" w:rsidRDefault="00CF3A1E" w:rsidP="00562485"/>
        </w:tc>
      </w:tr>
    </w:tbl>
    <w:p w14:paraId="1A110596" w14:textId="77777777" w:rsidR="00CF3A1E" w:rsidRPr="00886EC9" w:rsidRDefault="00CF3A1E" w:rsidP="00EF523B"/>
    <w:p w14:paraId="1A1010BB" w14:textId="77777777" w:rsidR="00164122" w:rsidRPr="00886EC9" w:rsidRDefault="004B7B33" w:rsidP="00164122">
      <w:r>
        <w:t>1</w:t>
      </w:r>
      <w:r w:rsidR="00164122" w:rsidRPr="00886EC9">
        <w:t>8</w:t>
      </w:r>
      <w:r>
        <w:t>.</w:t>
      </w:r>
      <w:r w:rsidR="00164122" w:rsidRPr="00886EC9">
        <w:t xml:space="preserve"> Do you have any feedback on the draft notifiable events guidance?</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CF3A1E" w:rsidRPr="0073182D" w14:paraId="4632F37A" w14:textId="77777777" w:rsidTr="004D48A8">
        <w:trPr>
          <w:trHeight w:val="346"/>
        </w:trPr>
        <w:tc>
          <w:tcPr>
            <w:tcW w:w="9190" w:type="dxa"/>
            <w:vAlign w:val="center"/>
          </w:tcPr>
          <w:p w14:paraId="755E831D" w14:textId="77777777" w:rsidR="00CF3A1E" w:rsidRPr="00886EC9" w:rsidRDefault="00CF3A1E" w:rsidP="00562485">
            <w:r w:rsidRPr="00886EC9">
              <w:fldChar w:fldCharType="begin">
                <w:ffData>
                  <w:name w:val="Text3"/>
                  <w:enabled/>
                  <w:calcOnExit w:val="0"/>
                  <w:textInput/>
                </w:ffData>
              </w:fldChar>
            </w:r>
            <w:r w:rsidRPr="00886EC9">
              <w:instrText xml:space="preserve"> FORMTEXT </w:instrText>
            </w:r>
            <w:r w:rsidRPr="00886EC9">
              <w:fldChar w:fldCharType="separate"/>
            </w:r>
            <w:r w:rsidRPr="00886EC9">
              <w:t> </w:t>
            </w:r>
            <w:r w:rsidRPr="00886EC9">
              <w:t> </w:t>
            </w:r>
            <w:r w:rsidRPr="00886EC9">
              <w:t> </w:t>
            </w:r>
            <w:r w:rsidRPr="00886EC9">
              <w:t> </w:t>
            </w:r>
            <w:r w:rsidRPr="00886EC9">
              <w:t> </w:t>
            </w:r>
            <w:r w:rsidRPr="00886EC9">
              <w:fldChar w:fldCharType="end"/>
            </w:r>
          </w:p>
          <w:p w14:paraId="45D8DDAE" w14:textId="77777777" w:rsidR="00CF3A1E" w:rsidRPr="00886EC9" w:rsidRDefault="00CF3A1E" w:rsidP="00562485"/>
          <w:p w14:paraId="2BBD36A7" w14:textId="77777777" w:rsidR="00CF3A1E" w:rsidRPr="00886EC9" w:rsidRDefault="00CF3A1E" w:rsidP="00562485"/>
          <w:p w14:paraId="14E6615D" w14:textId="77777777" w:rsidR="00CF3A1E" w:rsidRPr="00886EC9" w:rsidRDefault="00CF3A1E" w:rsidP="00562485"/>
          <w:p w14:paraId="6531E534" w14:textId="77777777" w:rsidR="00CF3A1E" w:rsidRPr="00886EC9" w:rsidRDefault="00CF3A1E" w:rsidP="00562485"/>
        </w:tc>
      </w:tr>
    </w:tbl>
    <w:p w14:paraId="2BB36544" w14:textId="77777777" w:rsidR="004D48A8" w:rsidRDefault="004D48A8" w:rsidP="00164122"/>
    <w:p w14:paraId="1C40A24B" w14:textId="77777777" w:rsidR="00CF3A1E" w:rsidRPr="00886EC9" w:rsidRDefault="00164122" w:rsidP="00164122">
      <w:r w:rsidRPr="00886EC9">
        <w:t>19</w:t>
      </w:r>
      <w:r w:rsidR="004B7B33">
        <w:t>.</w:t>
      </w:r>
      <w:r w:rsidRPr="00886EC9">
        <w:t xml:space="preserve"> Should we add to, delete or amend anything in the list of proposed indicators? Any other comments?</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CF3A1E" w:rsidRPr="0073182D" w14:paraId="336C54C5" w14:textId="77777777" w:rsidTr="004D48A8">
        <w:trPr>
          <w:trHeight w:val="346"/>
        </w:trPr>
        <w:tc>
          <w:tcPr>
            <w:tcW w:w="9190" w:type="dxa"/>
            <w:vAlign w:val="center"/>
          </w:tcPr>
          <w:p w14:paraId="482106DB" w14:textId="5DA39DAB" w:rsidR="00CF3A1E" w:rsidRPr="00886EC9" w:rsidRDefault="0006190C" w:rsidP="00562485">
            <w:r>
              <w:t>One way to ensure that human rights, and especially the standards set out within the right to housing, are embedded within the regulatory framework would be to undertake an analysis of Charter indicators through the lens of human rights laws and standards. This would ensure that the regulatory framework, monitoring and reporting ‘spoke’ to human rights concerns</w:t>
            </w:r>
            <w:r w:rsidR="00196F03">
              <w:t xml:space="preserve"> and was capable of recording relevant information in terms of rights realisation. It would provide the opportunity to update and adapt the indicators to reflect a rights based approach.</w:t>
            </w:r>
            <w:r w:rsidR="00737FBA">
              <w:t xml:space="preserve"> The Commission recently undertook a similar exercise in relation to the Scottish Government’s National Performance Framework.</w:t>
            </w:r>
          </w:p>
          <w:p w14:paraId="3610E8FC" w14:textId="77777777" w:rsidR="00CF3A1E" w:rsidRPr="00886EC9" w:rsidRDefault="00CF3A1E" w:rsidP="00562485"/>
          <w:p w14:paraId="41C6D4D4" w14:textId="77777777" w:rsidR="00CF3A1E" w:rsidRPr="00886EC9" w:rsidRDefault="00CF3A1E" w:rsidP="00562485"/>
          <w:p w14:paraId="03DF9539" w14:textId="77777777" w:rsidR="00CF3A1E" w:rsidRPr="00886EC9" w:rsidRDefault="00CF3A1E" w:rsidP="00562485"/>
        </w:tc>
      </w:tr>
    </w:tbl>
    <w:p w14:paraId="5DFCD1B9" w14:textId="77777777" w:rsidR="00164122" w:rsidRPr="00886EC9" w:rsidRDefault="00164122" w:rsidP="00164122"/>
    <w:p w14:paraId="47067CF9" w14:textId="77777777" w:rsidR="00CF3A1E" w:rsidRPr="00886EC9" w:rsidRDefault="00920A53" w:rsidP="00164122">
      <w:r>
        <w:t>2</w:t>
      </w:r>
      <w:r w:rsidR="00164122" w:rsidRPr="00886EC9">
        <w:t>0: Do you have any feedback on the draft group structures guidance?</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CF3A1E" w:rsidRPr="0073182D" w14:paraId="46DAFB62" w14:textId="77777777" w:rsidTr="004D48A8">
        <w:trPr>
          <w:trHeight w:val="346"/>
        </w:trPr>
        <w:tc>
          <w:tcPr>
            <w:tcW w:w="9190" w:type="dxa"/>
            <w:vAlign w:val="center"/>
          </w:tcPr>
          <w:p w14:paraId="5EF54355" w14:textId="77777777" w:rsidR="00CF3A1E" w:rsidRPr="00886EC9" w:rsidRDefault="00CF3A1E" w:rsidP="00562485">
            <w:r w:rsidRPr="00886EC9">
              <w:fldChar w:fldCharType="begin">
                <w:ffData>
                  <w:name w:val="Text3"/>
                  <w:enabled/>
                  <w:calcOnExit w:val="0"/>
                  <w:textInput/>
                </w:ffData>
              </w:fldChar>
            </w:r>
            <w:r w:rsidRPr="00886EC9">
              <w:instrText xml:space="preserve"> FORMTEXT </w:instrText>
            </w:r>
            <w:r w:rsidRPr="00886EC9">
              <w:fldChar w:fldCharType="separate"/>
            </w:r>
            <w:r w:rsidRPr="00886EC9">
              <w:t> </w:t>
            </w:r>
            <w:r w:rsidRPr="00886EC9">
              <w:t> </w:t>
            </w:r>
            <w:r w:rsidRPr="00886EC9">
              <w:t> </w:t>
            </w:r>
            <w:r w:rsidRPr="00886EC9">
              <w:t> </w:t>
            </w:r>
            <w:r w:rsidRPr="00886EC9">
              <w:t> </w:t>
            </w:r>
            <w:r w:rsidRPr="00886EC9">
              <w:fldChar w:fldCharType="end"/>
            </w:r>
          </w:p>
          <w:p w14:paraId="0224FCC8" w14:textId="77777777" w:rsidR="00CF3A1E" w:rsidRPr="00886EC9" w:rsidRDefault="00CF3A1E" w:rsidP="00562485"/>
          <w:p w14:paraId="60024385" w14:textId="77777777" w:rsidR="00CF3A1E" w:rsidRPr="00886EC9" w:rsidRDefault="00CF3A1E" w:rsidP="00562485"/>
          <w:p w14:paraId="51E52E5E" w14:textId="77777777" w:rsidR="00CF3A1E" w:rsidRPr="00886EC9" w:rsidRDefault="00CF3A1E" w:rsidP="00562485"/>
          <w:p w14:paraId="6030AFF4" w14:textId="77777777" w:rsidR="00CF3A1E" w:rsidRPr="00886EC9" w:rsidRDefault="00CF3A1E" w:rsidP="00562485"/>
        </w:tc>
      </w:tr>
    </w:tbl>
    <w:p w14:paraId="59EAACFA" w14:textId="77777777" w:rsidR="00CF3A1E" w:rsidRPr="00886EC9" w:rsidRDefault="00CF3A1E" w:rsidP="00164122"/>
    <w:p w14:paraId="1AFACC83" w14:textId="77777777" w:rsidR="00164122" w:rsidRPr="00886EC9" w:rsidRDefault="00164122" w:rsidP="00164122"/>
    <w:p w14:paraId="22848154" w14:textId="77777777" w:rsidR="00CF3A1E" w:rsidRPr="00886EC9" w:rsidRDefault="00164122" w:rsidP="00164122">
      <w:r w:rsidRPr="00886EC9">
        <w:t>21: Do you have any feedback on this guidance?</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CF3A1E" w:rsidRPr="0073182D" w14:paraId="450BC47F" w14:textId="77777777" w:rsidTr="004D48A8">
        <w:trPr>
          <w:trHeight w:val="346"/>
        </w:trPr>
        <w:tc>
          <w:tcPr>
            <w:tcW w:w="9190" w:type="dxa"/>
            <w:vAlign w:val="center"/>
          </w:tcPr>
          <w:p w14:paraId="50622EC9" w14:textId="77777777" w:rsidR="00CF3A1E" w:rsidRPr="00886EC9" w:rsidRDefault="00CF3A1E" w:rsidP="00562485">
            <w:r w:rsidRPr="00886EC9">
              <w:fldChar w:fldCharType="begin">
                <w:ffData>
                  <w:name w:val="Text3"/>
                  <w:enabled/>
                  <w:calcOnExit w:val="0"/>
                  <w:textInput/>
                </w:ffData>
              </w:fldChar>
            </w:r>
            <w:r w:rsidRPr="00886EC9">
              <w:instrText xml:space="preserve"> FORMTEXT </w:instrText>
            </w:r>
            <w:r w:rsidRPr="00886EC9">
              <w:fldChar w:fldCharType="separate"/>
            </w:r>
            <w:r w:rsidRPr="00886EC9">
              <w:t> </w:t>
            </w:r>
            <w:r w:rsidRPr="00886EC9">
              <w:t> </w:t>
            </w:r>
            <w:r w:rsidRPr="00886EC9">
              <w:t> </w:t>
            </w:r>
            <w:r w:rsidRPr="00886EC9">
              <w:t> </w:t>
            </w:r>
            <w:r w:rsidRPr="00886EC9">
              <w:t> </w:t>
            </w:r>
            <w:r w:rsidRPr="00886EC9">
              <w:fldChar w:fldCharType="end"/>
            </w:r>
          </w:p>
          <w:p w14:paraId="61A9A27E" w14:textId="77777777" w:rsidR="00CF3A1E" w:rsidRPr="00886EC9" w:rsidRDefault="00CF3A1E" w:rsidP="00562485"/>
          <w:p w14:paraId="43CBB4EF" w14:textId="77777777" w:rsidR="00CF3A1E" w:rsidRPr="00886EC9" w:rsidRDefault="00CF3A1E" w:rsidP="00562485"/>
          <w:p w14:paraId="78E903A5" w14:textId="77777777" w:rsidR="00CF3A1E" w:rsidRPr="00886EC9" w:rsidRDefault="00CF3A1E" w:rsidP="00562485"/>
          <w:p w14:paraId="1E3DD471" w14:textId="77777777" w:rsidR="00CF3A1E" w:rsidRPr="00886EC9" w:rsidRDefault="00CF3A1E" w:rsidP="00562485"/>
        </w:tc>
      </w:tr>
    </w:tbl>
    <w:p w14:paraId="6F7E26FB" w14:textId="77777777" w:rsidR="00164122" w:rsidRPr="00886EC9" w:rsidRDefault="00164122" w:rsidP="00164122"/>
    <w:p w14:paraId="55AA6C22" w14:textId="77777777" w:rsidR="00164122" w:rsidRPr="00886EC9" w:rsidRDefault="00164122" w:rsidP="00164122">
      <w:r w:rsidRPr="00886EC9">
        <w:t>22</w:t>
      </w:r>
      <w:r w:rsidR="004B7B33">
        <w:t>.</w:t>
      </w:r>
      <w:r w:rsidRPr="00886EC9">
        <w:t xml:space="preserve"> Would you like to give feedback on any other aspect of the proposals set out in the draft Framework and guidance?</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CF3A1E" w:rsidRPr="0073182D" w14:paraId="465CB95D" w14:textId="77777777" w:rsidTr="004D48A8">
        <w:trPr>
          <w:trHeight w:val="346"/>
        </w:trPr>
        <w:tc>
          <w:tcPr>
            <w:tcW w:w="9190" w:type="dxa"/>
            <w:vAlign w:val="center"/>
          </w:tcPr>
          <w:p w14:paraId="0603456C" w14:textId="77777777" w:rsidR="00CF3A1E" w:rsidRPr="00886EC9" w:rsidRDefault="00CF3A1E" w:rsidP="00562485">
            <w:r w:rsidRPr="00886EC9">
              <w:fldChar w:fldCharType="begin">
                <w:ffData>
                  <w:name w:val="Text3"/>
                  <w:enabled/>
                  <w:calcOnExit w:val="0"/>
                  <w:textInput/>
                </w:ffData>
              </w:fldChar>
            </w:r>
            <w:r w:rsidRPr="00886EC9">
              <w:instrText xml:space="preserve"> FORMTEXT </w:instrText>
            </w:r>
            <w:r w:rsidRPr="00886EC9">
              <w:fldChar w:fldCharType="separate"/>
            </w:r>
            <w:r w:rsidRPr="00886EC9">
              <w:t> </w:t>
            </w:r>
            <w:r w:rsidRPr="00886EC9">
              <w:t> </w:t>
            </w:r>
            <w:r w:rsidRPr="00886EC9">
              <w:t> </w:t>
            </w:r>
            <w:r w:rsidRPr="00886EC9">
              <w:t> </w:t>
            </w:r>
            <w:r w:rsidRPr="00886EC9">
              <w:t> </w:t>
            </w:r>
            <w:r w:rsidRPr="00886EC9">
              <w:fldChar w:fldCharType="end"/>
            </w:r>
          </w:p>
          <w:p w14:paraId="468AF762" w14:textId="77777777" w:rsidR="00CF3A1E" w:rsidRPr="00886EC9" w:rsidRDefault="00CF3A1E" w:rsidP="00562485"/>
          <w:p w14:paraId="5C413873" w14:textId="77777777" w:rsidR="00CF3A1E" w:rsidRPr="00886EC9" w:rsidRDefault="00CF3A1E" w:rsidP="00562485"/>
          <w:p w14:paraId="4D1F896A" w14:textId="77777777" w:rsidR="00CF3A1E" w:rsidRPr="00886EC9" w:rsidRDefault="00CF3A1E" w:rsidP="00562485"/>
          <w:p w14:paraId="4DE78817" w14:textId="77777777" w:rsidR="00CF3A1E" w:rsidRPr="00886EC9" w:rsidRDefault="00CF3A1E" w:rsidP="00562485"/>
        </w:tc>
      </w:tr>
    </w:tbl>
    <w:p w14:paraId="6E400AE9" w14:textId="77777777" w:rsidR="00CF3A1E" w:rsidRPr="00886EC9" w:rsidRDefault="00CF3A1E" w:rsidP="00164122"/>
    <w:p w14:paraId="29EF7C97" w14:textId="77777777" w:rsidR="002C0C6C" w:rsidRPr="00886EC9" w:rsidRDefault="00164122" w:rsidP="00EF523B">
      <w:r w:rsidRPr="00886EC9">
        <w:t>23</w:t>
      </w:r>
      <w:r w:rsidR="004B7B33">
        <w:t>.</w:t>
      </w:r>
      <w:r w:rsidRPr="00886EC9">
        <w:t xml:space="preserve"> Would you like to give feedback on any aspect of these impact assessments? Are there other potential impacts that we should consider? </w:t>
      </w:r>
    </w:p>
    <w:tbl>
      <w:tblPr>
        <w:tblW w:w="919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190"/>
      </w:tblGrid>
      <w:tr w:rsidR="003143FE" w:rsidRPr="0073182D" w14:paraId="3DB9EE68" w14:textId="77777777" w:rsidTr="004D48A8">
        <w:trPr>
          <w:trHeight w:val="346"/>
        </w:trPr>
        <w:tc>
          <w:tcPr>
            <w:tcW w:w="9190" w:type="dxa"/>
            <w:vAlign w:val="center"/>
          </w:tcPr>
          <w:p w14:paraId="638B6EB7" w14:textId="77777777" w:rsidR="003143FE" w:rsidRPr="00886EC9" w:rsidRDefault="003143FE" w:rsidP="00AE6E91">
            <w:r w:rsidRPr="00886EC9">
              <w:fldChar w:fldCharType="begin">
                <w:ffData>
                  <w:name w:val="Text3"/>
                  <w:enabled/>
                  <w:calcOnExit w:val="0"/>
                  <w:textInput/>
                </w:ffData>
              </w:fldChar>
            </w:r>
            <w:r w:rsidRPr="00886EC9">
              <w:instrText xml:space="preserve"> FORMTEXT </w:instrText>
            </w:r>
            <w:r w:rsidRPr="00886EC9">
              <w:fldChar w:fldCharType="separate"/>
            </w:r>
            <w:r w:rsidRPr="00886EC9">
              <w:t> </w:t>
            </w:r>
            <w:r w:rsidRPr="00886EC9">
              <w:t> </w:t>
            </w:r>
            <w:r w:rsidRPr="00886EC9">
              <w:t> </w:t>
            </w:r>
            <w:r w:rsidRPr="00886EC9">
              <w:t> </w:t>
            </w:r>
            <w:r w:rsidRPr="00886EC9">
              <w:t> </w:t>
            </w:r>
            <w:r w:rsidRPr="00886EC9">
              <w:fldChar w:fldCharType="end"/>
            </w:r>
          </w:p>
          <w:p w14:paraId="772355B8" w14:textId="77777777" w:rsidR="00955E25" w:rsidRPr="00886EC9" w:rsidRDefault="00955E25" w:rsidP="00AE6E91"/>
          <w:p w14:paraId="219C5B9F" w14:textId="77777777" w:rsidR="00955E25" w:rsidRPr="00886EC9" w:rsidRDefault="00955E25" w:rsidP="00AE6E91"/>
          <w:p w14:paraId="0673AC45" w14:textId="77777777" w:rsidR="00955E25" w:rsidRPr="00886EC9" w:rsidRDefault="00955E25" w:rsidP="00AE6E91"/>
          <w:p w14:paraId="1EA48DD0" w14:textId="77777777" w:rsidR="00955E25" w:rsidRPr="00886EC9" w:rsidRDefault="00955E25" w:rsidP="00AE6E91"/>
          <w:p w14:paraId="29E127A0" w14:textId="77777777" w:rsidR="00955E25" w:rsidRPr="00886EC9" w:rsidRDefault="00955E25" w:rsidP="00AE6E91"/>
        </w:tc>
      </w:tr>
    </w:tbl>
    <w:p w14:paraId="20FBD7FC" w14:textId="77777777" w:rsidR="00022F48" w:rsidRPr="0073182D" w:rsidRDefault="00022F48" w:rsidP="00022F48">
      <w:pPr>
        <w:rPr>
          <w:highlight w:val="yellow"/>
        </w:rPr>
      </w:pPr>
    </w:p>
    <w:p w14:paraId="7899ADF8" w14:textId="77777777" w:rsidR="003143FE" w:rsidRPr="0073182D" w:rsidRDefault="003143FE" w:rsidP="002839AA">
      <w:pPr>
        <w:rPr>
          <w:highlight w:val="yellow"/>
        </w:rPr>
      </w:pPr>
    </w:p>
    <w:p w14:paraId="3AB3F19D" w14:textId="77777777" w:rsidR="00240B29" w:rsidRPr="0073182D" w:rsidRDefault="00240B29" w:rsidP="002839AA">
      <w:pPr>
        <w:rPr>
          <w:highlight w:val="yellow"/>
        </w:rPr>
      </w:pPr>
    </w:p>
    <w:p w14:paraId="2448EAE1" w14:textId="77777777" w:rsidR="00403969" w:rsidRDefault="00403969" w:rsidP="003143FE">
      <w:pPr>
        <w:jc w:val="center"/>
      </w:pPr>
      <w:r w:rsidRPr="004B7B33">
        <w:t>Thank you for taking the time to give us your feedback!</w:t>
      </w:r>
    </w:p>
    <w:sectPr w:rsidR="00403969" w:rsidSect="00EF523B">
      <w:headerReference w:type="default" r:id="rId17"/>
      <w:footerReference w:type="default" r:id="rId18"/>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33059" w14:textId="77777777" w:rsidR="00F16A3F" w:rsidRDefault="00F16A3F">
      <w:pPr>
        <w:spacing w:line="240" w:lineRule="auto"/>
      </w:pPr>
      <w:r>
        <w:separator/>
      </w:r>
    </w:p>
  </w:endnote>
  <w:endnote w:type="continuationSeparator" w:id="0">
    <w:p w14:paraId="5AAE6796" w14:textId="77777777" w:rsidR="00F16A3F" w:rsidRDefault="00F16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4447" w14:textId="77777777" w:rsidR="003F2479" w:rsidRDefault="00E82FF6" w:rsidP="00E82FF6">
    <w:pPr>
      <w:pStyle w:val="Footer"/>
      <w:rPr>
        <w:sz w:val="16"/>
        <w:szCs w:val="16"/>
      </w:rPr>
    </w:pPr>
    <w:r w:rsidRPr="00E82FF6">
      <w:rPr>
        <w:sz w:val="16"/>
        <w:szCs w:val="16"/>
      </w:rPr>
      <w:t xml:space="preserve">Our regulation of social housing: a consultation </w:t>
    </w:r>
  </w:p>
  <w:p w14:paraId="6257421D" w14:textId="0B802DDD" w:rsidR="00E82FF6" w:rsidRPr="00E82FF6" w:rsidRDefault="00E82FF6" w:rsidP="00E82FF6">
    <w:pPr>
      <w:pStyle w:val="Footer"/>
      <w:rPr>
        <w:sz w:val="16"/>
        <w:szCs w:val="16"/>
      </w:rPr>
    </w:pPr>
    <w:r>
      <w:rPr>
        <w:sz w:val="16"/>
        <w:szCs w:val="16"/>
      </w:rPr>
      <w:t xml:space="preserve">Questionnaire </w:t>
    </w:r>
    <w:r>
      <w:rPr>
        <w:sz w:val="16"/>
        <w:szCs w:val="16"/>
      </w:rPr>
      <w:tab/>
    </w:r>
    <w:r>
      <w:rPr>
        <w:sz w:val="16"/>
        <w:szCs w:val="16"/>
      </w:rPr>
      <w:tab/>
    </w:r>
    <w:r>
      <w:rPr>
        <w:sz w:val="16"/>
        <w:szCs w:val="16"/>
      </w:rPr>
      <w:tab/>
    </w:r>
    <w:r>
      <w:rPr>
        <w:sz w:val="16"/>
        <w:szCs w:val="16"/>
      </w:rPr>
      <w:tab/>
    </w:r>
    <w:r w:rsidRPr="00E82FF6">
      <w:rPr>
        <w:sz w:val="16"/>
        <w:szCs w:val="16"/>
      </w:rPr>
      <w:fldChar w:fldCharType="begin"/>
    </w:r>
    <w:r w:rsidRPr="00E82FF6">
      <w:rPr>
        <w:sz w:val="16"/>
        <w:szCs w:val="16"/>
      </w:rPr>
      <w:instrText xml:space="preserve"> PAGE   \* MERGEFORMAT </w:instrText>
    </w:r>
    <w:r w:rsidRPr="00E82FF6">
      <w:rPr>
        <w:sz w:val="16"/>
        <w:szCs w:val="16"/>
      </w:rPr>
      <w:fldChar w:fldCharType="separate"/>
    </w:r>
    <w:r w:rsidR="005A5B10">
      <w:rPr>
        <w:noProof/>
        <w:sz w:val="16"/>
        <w:szCs w:val="16"/>
      </w:rPr>
      <w:t>1</w:t>
    </w:r>
    <w:r w:rsidRPr="00E82FF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09203" w14:textId="77777777" w:rsidR="00F16A3F" w:rsidRDefault="00F16A3F">
      <w:pPr>
        <w:spacing w:line="240" w:lineRule="auto"/>
      </w:pPr>
      <w:r>
        <w:separator/>
      </w:r>
    </w:p>
  </w:footnote>
  <w:footnote w:type="continuationSeparator" w:id="0">
    <w:p w14:paraId="2A0958B6" w14:textId="77777777" w:rsidR="00F16A3F" w:rsidRDefault="00F16A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9DBE2" w14:textId="77777777"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92394F"/>
    <w:multiLevelType w:val="hybridMultilevel"/>
    <w:tmpl w:val="71AC7398"/>
    <w:lvl w:ilvl="0" w:tplc="7F4E7554">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828F4"/>
    <w:multiLevelType w:val="hybridMultilevel"/>
    <w:tmpl w:val="9D62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D2C63"/>
    <w:multiLevelType w:val="hybridMultilevel"/>
    <w:tmpl w:val="10804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B473C"/>
    <w:multiLevelType w:val="hybridMultilevel"/>
    <w:tmpl w:val="157EC3C2"/>
    <w:lvl w:ilvl="0" w:tplc="7DA47814">
      <w:start w:val="1"/>
      <w:numFmt w:val="decimal"/>
      <w:lvlText w:val="%1."/>
      <w:lvlJc w:val="left"/>
      <w:pPr>
        <w:ind w:left="992" w:hanging="992"/>
      </w:pPr>
      <w:rPr>
        <w:rFonts w:hint="default"/>
        <w:b w:val="0"/>
        <w:color w:val="auto"/>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F200E"/>
    <w:multiLevelType w:val="hybridMultilevel"/>
    <w:tmpl w:val="CF76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72EFF"/>
    <w:multiLevelType w:val="hybridMultilevel"/>
    <w:tmpl w:val="5262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70E65"/>
    <w:multiLevelType w:val="hybridMultilevel"/>
    <w:tmpl w:val="B3B6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3551D"/>
    <w:multiLevelType w:val="hybridMultilevel"/>
    <w:tmpl w:val="FCB4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B63343"/>
    <w:multiLevelType w:val="hybridMultilevel"/>
    <w:tmpl w:val="8480B6B6"/>
    <w:lvl w:ilvl="0" w:tplc="7F4E7554">
      <w:start w:val="1"/>
      <w:numFmt w:val="decimal"/>
      <w:lvlText w:val="%1."/>
      <w:lvlJc w:val="left"/>
      <w:pPr>
        <w:ind w:left="568" w:hanging="284"/>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5AC62CF9"/>
    <w:multiLevelType w:val="hybridMultilevel"/>
    <w:tmpl w:val="0FB61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674194"/>
    <w:multiLevelType w:val="hybridMultilevel"/>
    <w:tmpl w:val="3C4C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7FAD6B58"/>
    <w:multiLevelType w:val="hybridMultilevel"/>
    <w:tmpl w:val="CD92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0"/>
  </w:num>
  <w:num w:numId="4">
    <w:abstractNumId w:val="0"/>
  </w:num>
  <w:num w:numId="5">
    <w:abstractNumId w:val="7"/>
  </w:num>
  <w:num w:numId="6">
    <w:abstractNumId w:val="1"/>
  </w:num>
  <w:num w:numId="7">
    <w:abstractNumId w:val="9"/>
  </w:num>
  <w:num w:numId="8">
    <w:abstractNumId w:val="3"/>
  </w:num>
  <w:num w:numId="9">
    <w:abstractNumId w:val="4"/>
  </w:num>
  <w:num w:numId="10">
    <w:abstractNumId w:val="11"/>
  </w:num>
  <w:num w:numId="11">
    <w:abstractNumId w:val="10"/>
  </w:num>
  <w:num w:numId="12">
    <w:abstractNumId w:val="8"/>
  </w:num>
  <w:num w:numId="13">
    <w:abstractNumId w:val="2"/>
  </w:num>
  <w:num w:numId="14">
    <w:abstractNumId w:val="13"/>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AA"/>
    <w:rsid w:val="000205D6"/>
    <w:rsid w:val="00022F48"/>
    <w:rsid w:val="00027088"/>
    <w:rsid w:val="0003234A"/>
    <w:rsid w:val="0006190C"/>
    <w:rsid w:val="0006681C"/>
    <w:rsid w:val="000729A7"/>
    <w:rsid w:val="000926A6"/>
    <w:rsid w:val="000966BF"/>
    <w:rsid w:val="000A02B0"/>
    <w:rsid w:val="000A21D0"/>
    <w:rsid w:val="000A78C0"/>
    <w:rsid w:val="000B13A7"/>
    <w:rsid w:val="000E1126"/>
    <w:rsid w:val="000E265E"/>
    <w:rsid w:val="000E3CDC"/>
    <w:rsid w:val="00100021"/>
    <w:rsid w:val="00102C5F"/>
    <w:rsid w:val="00102CC8"/>
    <w:rsid w:val="001267F7"/>
    <w:rsid w:val="00155650"/>
    <w:rsid w:val="00157346"/>
    <w:rsid w:val="00164122"/>
    <w:rsid w:val="00165FCD"/>
    <w:rsid w:val="00192DC7"/>
    <w:rsid w:val="001932C3"/>
    <w:rsid w:val="00196F03"/>
    <w:rsid w:val="001A1274"/>
    <w:rsid w:val="001A24A1"/>
    <w:rsid w:val="001A58AE"/>
    <w:rsid w:val="001E1283"/>
    <w:rsid w:val="001E46B4"/>
    <w:rsid w:val="001F3820"/>
    <w:rsid w:val="001F5B8E"/>
    <w:rsid w:val="0021059B"/>
    <w:rsid w:val="00240B29"/>
    <w:rsid w:val="00250C25"/>
    <w:rsid w:val="00251070"/>
    <w:rsid w:val="00254F17"/>
    <w:rsid w:val="00271F23"/>
    <w:rsid w:val="00273CF0"/>
    <w:rsid w:val="002806B4"/>
    <w:rsid w:val="002839AA"/>
    <w:rsid w:val="002A1CB1"/>
    <w:rsid w:val="002B3D97"/>
    <w:rsid w:val="002C0C6C"/>
    <w:rsid w:val="002C1166"/>
    <w:rsid w:val="002C779C"/>
    <w:rsid w:val="002D5237"/>
    <w:rsid w:val="002E2BD4"/>
    <w:rsid w:val="002F3688"/>
    <w:rsid w:val="002F627A"/>
    <w:rsid w:val="00300B80"/>
    <w:rsid w:val="003143FE"/>
    <w:rsid w:val="00327AFC"/>
    <w:rsid w:val="00354037"/>
    <w:rsid w:val="0036500B"/>
    <w:rsid w:val="00374F3A"/>
    <w:rsid w:val="003825A8"/>
    <w:rsid w:val="00382EEE"/>
    <w:rsid w:val="00395368"/>
    <w:rsid w:val="003A6741"/>
    <w:rsid w:val="003C6EF9"/>
    <w:rsid w:val="003E408C"/>
    <w:rsid w:val="003F2479"/>
    <w:rsid w:val="0040293F"/>
    <w:rsid w:val="00403969"/>
    <w:rsid w:val="00411FC4"/>
    <w:rsid w:val="00412499"/>
    <w:rsid w:val="00422D74"/>
    <w:rsid w:val="0044115C"/>
    <w:rsid w:val="00443D96"/>
    <w:rsid w:val="0046385C"/>
    <w:rsid w:val="00463BFC"/>
    <w:rsid w:val="00466A11"/>
    <w:rsid w:val="004B7B33"/>
    <w:rsid w:val="004D48A8"/>
    <w:rsid w:val="004E3B0F"/>
    <w:rsid w:val="004E5CC6"/>
    <w:rsid w:val="004F14CD"/>
    <w:rsid w:val="004F3575"/>
    <w:rsid w:val="0050095B"/>
    <w:rsid w:val="00526EA9"/>
    <w:rsid w:val="005321B6"/>
    <w:rsid w:val="00582AE6"/>
    <w:rsid w:val="005944AC"/>
    <w:rsid w:val="00594B23"/>
    <w:rsid w:val="005A5B10"/>
    <w:rsid w:val="005C5056"/>
    <w:rsid w:val="005D0389"/>
    <w:rsid w:val="005F2898"/>
    <w:rsid w:val="00600D18"/>
    <w:rsid w:val="0061022D"/>
    <w:rsid w:val="00613305"/>
    <w:rsid w:val="00614346"/>
    <w:rsid w:val="00642335"/>
    <w:rsid w:val="00665D39"/>
    <w:rsid w:val="00667694"/>
    <w:rsid w:val="0067486A"/>
    <w:rsid w:val="006A464C"/>
    <w:rsid w:val="006B104C"/>
    <w:rsid w:val="006B17D0"/>
    <w:rsid w:val="006D26F7"/>
    <w:rsid w:val="006D53C3"/>
    <w:rsid w:val="006E1B49"/>
    <w:rsid w:val="0073182D"/>
    <w:rsid w:val="0073409E"/>
    <w:rsid w:val="0073767F"/>
    <w:rsid w:val="00737FBA"/>
    <w:rsid w:val="00741EE4"/>
    <w:rsid w:val="00766149"/>
    <w:rsid w:val="00766624"/>
    <w:rsid w:val="00767882"/>
    <w:rsid w:val="007C0E1A"/>
    <w:rsid w:val="007C6650"/>
    <w:rsid w:val="007D2567"/>
    <w:rsid w:val="007D2AAA"/>
    <w:rsid w:val="007E21D7"/>
    <w:rsid w:val="007F67A3"/>
    <w:rsid w:val="00827534"/>
    <w:rsid w:val="008349F7"/>
    <w:rsid w:val="00852C8F"/>
    <w:rsid w:val="00864B79"/>
    <w:rsid w:val="00886EC9"/>
    <w:rsid w:val="008A662B"/>
    <w:rsid w:val="008B4EB9"/>
    <w:rsid w:val="009000AD"/>
    <w:rsid w:val="009041D7"/>
    <w:rsid w:val="0090686B"/>
    <w:rsid w:val="00920A53"/>
    <w:rsid w:val="00946261"/>
    <w:rsid w:val="00952710"/>
    <w:rsid w:val="00955E25"/>
    <w:rsid w:val="00962667"/>
    <w:rsid w:val="009679E1"/>
    <w:rsid w:val="009A0F9F"/>
    <w:rsid w:val="009B7C43"/>
    <w:rsid w:val="009C621B"/>
    <w:rsid w:val="009D0562"/>
    <w:rsid w:val="009E5B2B"/>
    <w:rsid w:val="009E7EC4"/>
    <w:rsid w:val="009F71B8"/>
    <w:rsid w:val="00A112DE"/>
    <w:rsid w:val="00A202BC"/>
    <w:rsid w:val="00A238CA"/>
    <w:rsid w:val="00A323A7"/>
    <w:rsid w:val="00A35D7B"/>
    <w:rsid w:val="00A45F6B"/>
    <w:rsid w:val="00A4759E"/>
    <w:rsid w:val="00A56640"/>
    <w:rsid w:val="00A56EBA"/>
    <w:rsid w:val="00A64B6A"/>
    <w:rsid w:val="00A90A53"/>
    <w:rsid w:val="00AA336A"/>
    <w:rsid w:val="00AB36C8"/>
    <w:rsid w:val="00AB54FF"/>
    <w:rsid w:val="00AC310B"/>
    <w:rsid w:val="00AE01CB"/>
    <w:rsid w:val="00AE0A4B"/>
    <w:rsid w:val="00AE1638"/>
    <w:rsid w:val="00B12A56"/>
    <w:rsid w:val="00B15CEF"/>
    <w:rsid w:val="00B479C9"/>
    <w:rsid w:val="00B50B4E"/>
    <w:rsid w:val="00B548EB"/>
    <w:rsid w:val="00B55A87"/>
    <w:rsid w:val="00B8601E"/>
    <w:rsid w:val="00B87DA6"/>
    <w:rsid w:val="00B928B9"/>
    <w:rsid w:val="00BA6D56"/>
    <w:rsid w:val="00BA74B4"/>
    <w:rsid w:val="00BB1F40"/>
    <w:rsid w:val="00BB5D10"/>
    <w:rsid w:val="00BC0398"/>
    <w:rsid w:val="00BC2800"/>
    <w:rsid w:val="00BD7F5B"/>
    <w:rsid w:val="00BE3062"/>
    <w:rsid w:val="00C22C4B"/>
    <w:rsid w:val="00C818E7"/>
    <w:rsid w:val="00C86FBA"/>
    <w:rsid w:val="00C95201"/>
    <w:rsid w:val="00CB36C0"/>
    <w:rsid w:val="00CE0211"/>
    <w:rsid w:val="00CE1566"/>
    <w:rsid w:val="00CF3A1E"/>
    <w:rsid w:val="00CF773F"/>
    <w:rsid w:val="00D10743"/>
    <w:rsid w:val="00D24A93"/>
    <w:rsid w:val="00D34387"/>
    <w:rsid w:val="00D86EB7"/>
    <w:rsid w:val="00D939CA"/>
    <w:rsid w:val="00DB0880"/>
    <w:rsid w:val="00DB32B2"/>
    <w:rsid w:val="00DE0C29"/>
    <w:rsid w:val="00DE3DB9"/>
    <w:rsid w:val="00DF1C08"/>
    <w:rsid w:val="00DF39B8"/>
    <w:rsid w:val="00E027E8"/>
    <w:rsid w:val="00E14FAF"/>
    <w:rsid w:val="00E1544E"/>
    <w:rsid w:val="00E165C4"/>
    <w:rsid w:val="00E16E26"/>
    <w:rsid w:val="00E33CE4"/>
    <w:rsid w:val="00E3599D"/>
    <w:rsid w:val="00E36759"/>
    <w:rsid w:val="00E566C4"/>
    <w:rsid w:val="00E6636E"/>
    <w:rsid w:val="00E81A4C"/>
    <w:rsid w:val="00E82FF6"/>
    <w:rsid w:val="00E8387B"/>
    <w:rsid w:val="00E851D0"/>
    <w:rsid w:val="00E90150"/>
    <w:rsid w:val="00EA1C95"/>
    <w:rsid w:val="00EA6596"/>
    <w:rsid w:val="00ED1316"/>
    <w:rsid w:val="00EF523B"/>
    <w:rsid w:val="00EF7010"/>
    <w:rsid w:val="00F10726"/>
    <w:rsid w:val="00F16A3F"/>
    <w:rsid w:val="00F35D44"/>
    <w:rsid w:val="00F518DD"/>
    <w:rsid w:val="00F55E3C"/>
    <w:rsid w:val="00F9174C"/>
    <w:rsid w:val="00FD4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51722"/>
  <w15:docId w15:val="{257264EC-17ED-47C5-AC0B-A25B006A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122"/>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2839AA"/>
    <w:pPr>
      <w:ind w:left="720"/>
      <w:contextualSpacing/>
    </w:pPr>
  </w:style>
  <w:style w:type="character" w:customStyle="1" w:styleId="HeaderChar">
    <w:name w:val="Header Char"/>
    <w:basedOn w:val="DefaultParagraphFont"/>
    <w:link w:val="Header"/>
    <w:uiPriority w:val="99"/>
    <w:rsid w:val="00EF523B"/>
    <w:rPr>
      <w:lang w:eastAsia="en-US"/>
    </w:rPr>
  </w:style>
  <w:style w:type="paragraph" w:styleId="BalloonText">
    <w:name w:val="Balloon Text"/>
    <w:basedOn w:val="Normal"/>
    <w:link w:val="BalloonTextChar"/>
    <w:uiPriority w:val="99"/>
    <w:semiHidden/>
    <w:unhideWhenUsed/>
    <w:rsid w:val="00EF52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23B"/>
    <w:rPr>
      <w:rFonts w:ascii="Tahoma" w:hAnsi="Tahoma" w:cs="Tahoma"/>
      <w:sz w:val="16"/>
      <w:szCs w:val="16"/>
      <w:lang w:eastAsia="en-US"/>
    </w:rPr>
  </w:style>
  <w:style w:type="character" w:customStyle="1" w:styleId="FooterChar">
    <w:name w:val="Footer Char"/>
    <w:basedOn w:val="DefaultParagraphFont"/>
    <w:link w:val="Footer"/>
    <w:uiPriority w:val="99"/>
    <w:rsid w:val="0050095B"/>
    <w:rPr>
      <w:lang w:eastAsia="en-US"/>
    </w:rPr>
  </w:style>
  <w:style w:type="character" w:styleId="CommentReference">
    <w:name w:val="annotation reference"/>
    <w:basedOn w:val="DefaultParagraphFont"/>
    <w:uiPriority w:val="99"/>
    <w:semiHidden/>
    <w:unhideWhenUsed/>
    <w:rsid w:val="00403969"/>
    <w:rPr>
      <w:sz w:val="16"/>
      <w:szCs w:val="16"/>
    </w:rPr>
  </w:style>
  <w:style w:type="paragraph" w:styleId="CommentText">
    <w:name w:val="annotation text"/>
    <w:basedOn w:val="Normal"/>
    <w:link w:val="CommentTextChar"/>
    <w:uiPriority w:val="99"/>
    <w:semiHidden/>
    <w:unhideWhenUsed/>
    <w:rsid w:val="00403969"/>
    <w:pPr>
      <w:spacing w:line="240" w:lineRule="auto"/>
    </w:pPr>
    <w:rPr>
      <w:sz w:val="20"/>
    </w:rPr>
  </w:style>
  <w:style w:type="character" w:customStyle="1" w:styleId="CommentTextChar">
    <w:name w:val="Comment Text Char"/>
    <w:basedOn w:val="DefaultParagraphFont"/>
    <w:link w:val="CommentText"/>
    <w:uiPriority w:val="99"/>
    <w:semiHidden/>
    <w:rsid w:val="00403969"/>
    <w:rPr>
      <w:sz w:val="20"/>
      <w:lang w:eastAsia="en-US"/>
    </w:rPr>
  </w:style>
  <w:style w:type="paragraph" w:styleId="CommentSubject">
    <w:name w:val="annotation subject"/>
    <w:basedOn w:val="CommentText"/>
    <w:next w:val="CommentText"/>
    <w:link w:val="CommentSubjectChar"/>
    <w:uiPriority w:val="99"/>
    <w:semiHidden/>
    <w:unhideWhenUsed/>
    <w:rsid w:val="00403969"/>
    <w:rPr>
      <w:b/>
      <w:bCs/>
    </w:rPr>
  </w:style>
  <w:style w:type="character" w:customStyle="1" w:styleId="CommentSubjectChar">
    <w:name w:val="Comment Subject Char"/>
    <w:basedOn w:val="CommentTextChar"/>
    <w:link w:val="CommentSubject"/>
    <w:uiPriority w:val="99"/>
    <w:semiHidden/>
    <w:rsid w:val="00403969"/>
    <w:rPr>
      <w:b/>
      <w:bCs/>
      <w:sz w:val="20"/>
      <w:lang w:eastAsia="en-US"/>
    </w:rPr>
  </w:style>
  <w:style w:type="character" w:styleId="Hyperlink">
    <w:name w:val="Hyperlink"/>
    <w:basedOn w:val="DefaultParagraphFont"/>
    <w:uiPriority w:val="99"/>
    <w:unhideWhenUsed/>
    <w:rsid w:val="00A112DE"/>
    <w:rPr>
      <w:color w:val="0000FF" w:themeColor="hyperlink"/>
      <w:u w:val="single"/>
    </w:rPr>
  </w:style>
  <w:style w:type="paragraph" w:customStyle="1" w:styleId="Subheading3">
    <w:name w:val="Subheading 3"/>
    <w:basedOn w:val="Normal"/>
    <w:next w:val="Normal"/>
    <w:rsid w:val="002E2BD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pPr>
    <w:rPr>
      <w:szCs w:val="24"/>
      <w:lang w:eastAsia="en-GB"/>
    </w:rPr>
  </w:style>
  <w:style w:type="table" w:styleId="TableGrid">
    <w:name w:val="Table Grid"/>
    <w:basedOn w:val="TableNormal"/>
    <w:uiPriority w:val="59"/>
    <w:rsid w:val="0076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6A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binternet.ohchr.org/_layouts/treatybodyexternal/Download.aspx?symbolno=INT%2fCESCR%2fGEC%2f4759&amp;Lang=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tishhumanrights.com/rights-in-practice/human-rights-based-approa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CrSOxT6FU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scottishhumanrights.com/economic-social-cultural-rights/housin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ottishhousingreulgator.gov.uk/" TargetMode="External"/><Relationship Id="rId14" Type="http://schemas.openxmlformats.org/officeDocument/2006/relationships/hyperlink" Target="https://www.ohchr.org/en/professionalinterest/pages/cesc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A22157061</value>
    </field>
    <field name="Objective-Title">
      <value order="0">Regulatory Framework Review - Consultation - Questionnaire -  Ready</value>
    </field>
    <field name="Objective-Description">
      <value order="0"/>
    </field>
    <field name="Objective-CreationStamp">
      <value order="0">2018-09-17T17:04:06Z</value>
    </field>
    <field name="Objective-IsApproved">
      <value order="0">false</value>
    </field>
    <field name="Objective-IsPublished">
      <value order="0">false</value>
    </field>
    <field name="Objective-DatePublished">
      <value order="0"/>
    </field>
    <field name="Objective-ModificationStamp">
      <value order="0">2018-10-06T22:31:30Z</value>
    </field>
    <field name="Objective-Owner">
      <value order="0">Davren, Tracy T (U417594)</value>
    </field>
    <field name="Objective-Path">
      <value order="0">Objective Global Folder:Scottish Housing Regulator File Plan:Corporate Policies, Systems and Services:Communications:Direct Stakeholder communications: Part 2: 2018-2023</value>
    </field>
    <field name="Objective-Parent">
      <value order="0">Direct Stakeholder communications: Part 2: 2018-2023</value>
    </field>
    <field name="Objective-State">
      <value order="0">Being Edited</value>
    </field>
    <field name="Objective-VersionId">
      <value order="0">vA31575198</value>
    </field>
    <field name="Objective-Version">
      <value order="0">0.5</value>
    </field>
    <field name="Objective-VersionNumber">
      <value order="0">5</value>
    </field>
    <field name="Objective-VersionComment">
      <value order="0"/>
    </field>
    <field name="Objective-FileNumber">
      <value order="0">qA804114</value>
    </field>
    <field name="Objective-Classification">
      <value order="0">OFFICIAL</value>
    </field>
    <field name="Objective-Caveats">
      <value order="0">Caveat for access to Scottish Housing Regulator</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3788</Words>
  <Characters>21455</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Linsey</dc:creator>
  <cp:lastModifiedBy>Hutton E (Emma)</cp:lastModifiedBy>
  <cp:revision>2</cp:revision>
  <cp:lastPrinted>2018-10-06T22:43:00Z</cp:lastPrinted>
  <dcterms:created xsi:type="dcterms:W3CDTF">2019-08-13T13:22:00Z</dcterms:created>
  <dcterms:modified xsi:type="dcterms:W3CDTF">2019-08-13T13:22:00Z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A22157061</vt:lpwstr>
  </property>
  <property fmtid="{D5CDD505-2E9C-101B-9397-08002B2CF9AE}" pid="4" name="Objective-Title">
    <vt:lpwstr>Regulatory Framework Review - Consultation - Questionnaire -  Ready</vt:lpwstr>
  </property>
  <property fmtid="{D5CDD505-2E9C-101B-9397-08002B2CF9AE}" pid="5" name="Objective-Description">
    <vt:lpwstr/>
  </property>
  <property fmtid="{D5CDD505-2E9C-101B-9397-08002B2CF9AE}" pid="6" name="Objective-CreationStamp">
    <vt:filetime>2018-09-17T17:04:16Z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2018-10-06T22:31:29Z</vt:filetime>
  </property>
  <property fmtid="{D5CDD505-2E9C-101B-9397-08002B2CF9AE}" pid="11" name="Objective-Owner">
    <vt:lpwstr>Davren, Tracy T (U417594)</vt:lpwstr>
  </property>
  <property fmtid="{D5CDD505-2E9C-101B-9397-08002B2CF9AE}" pid="12" name="Objective-Path">
    <vt:lpwstr>Objective Global Folder:Scottish Housing Regulator File Plan:Corporate Policies, Systems and Services:Communications:Direct Stakeholder communications: Part 2: 2018-2023:</vt:lpwstr>
  </property>
  <property fmtid="{D5CDD505-2E9C-101B-9397-08002B2CF9AE}" pid="13" name="Objective-Parent">
    <vt:lpwstr>Direct Stakeholder communications: Part 2: 2018-2023</vt:lpwstr>
  </property>
  <property fmtid="{D5CDD505-2E9C-101B-9397-08002B2CF9AE}" pid="14" name="Objective-State">
    <vt:lpwstr>Being Edited</vt:lpwstr>
  </property>
  <property fmtid="{D5CDD505-2E9C-101B-9397-08002B2CF9AE}" pid="15" name="Objective-VersionId">
    <vt:lpwstr>vA31575198</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CASE/431576</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